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12535" w14:textId="77777777" w:rsidR="0078217B" w:rsidRDefault="0078217B">
      <w:pPr>
        <w:ind w:right="1042"/>
        <w:rPr>
          <w:rFonts w:ascii="Montserrat" w:eastAsia="Montserrat" w:hAnsi="Montserrat" w:cs="Montserrat"/>
          <w:b/>
          <w:sz w:val="24"/>
          <w:szCs w:val="24"/>
        </w:rPr>
      </w:pPr>
    </w:p>
    <w:p w14:paraId="2DFD2252" w14:textId="77777777" w:rsidR="0078217B" w:rsidRDefault="00000000">
      <w:pPr>
        <w:ind w:right="632"/>
        <w:rPr>
          <w:rFonts w:ascii="Montserrat" w:eastAsia="Montserrat" w:hAnsi="Montserrat" w:cs="Montserrat"/>
          <w:b/>
          <w:sz w:val="24"/>
          <w:szCs w:val="24"/>
        </w:rPr>
      </w:pPr>
      <w:r>
        <w:rPr>
          <w:rFonts w:ascii="Montserrat" w:eastAsia="Montserrat" w:hAnsi="Montserrat" w:cs="Montserrat"/>
          <w:b/>
          <w:sz w:val="24"/>
          <w:szCs w:val="24"/>
        </w:rPr>
        <w:t xml:space="preserve">Resolution supporting the recognition of the legal personality and rights of the </w:t>
      </w:r>
      <w:proofErr w:type="spellStart"/>
      <w:r>
        <w:rPr>
          <w:rFonts w:ascii="Montserrat" w:eastAsia="Montserrat" w:hAnsi="Montserrat" w:cs="Montserrat"/>
          <w:b/>
          <w:sz w:val="24"/>
          <w:szCs w:val="24"/>
        </w:rPr>
        <w:t>Magtogoek</w:t>
      </w:r>
      <w:proofErr w:type="spellEnd"/>
      <w:r>
        <w:rPr>
          <w:rFonts w:ascii="Montserrat" w:eastAsia="Montserrat" w:hAnsi="Montserrat" w:cs="Montserrat"/>
          <w:b/>
          <w:sz w:val="24"/>
          <w:szCs w:val="24"/>
        </w:rPr>
        <w:t xml:space="preserve"> / Saint Lawrence River</w:t>
      </w:r>
    </w:p>
    <w:p w14:paraId="631A62E0" w14:textId="77777777" w:rsidR="0078217B" w:rsidRDefault="0078217B">
      <w:pPr>
        <w:ind w:left="851" w:right="1042"/>
        <w:jc w:val="center"/>
        <w:rPr>
          <w:rFonts w:ascii="Montserrat" w:eastAsia="Montserrat" w:hAnsi="Montserrat" w:cs="Montserrat"/>
          <w:b/>
          <w:sz w:val="24"/>
          <w:szCs w:val="24"/>
        </w:rPr>
      </w:pPr>
    </w:p>
    <w:tbl>
      <w:tblPr>
        <w:tblStyle w:val="a"/>
        <w:tblW w:w="93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696"/>
        <w:gridCol w:w="1848"/>
        <w:gridCol w:w="5852"/>
      </w:tblGrid>
      <w:tr w:rsidR="0078217B" w14:paraId="761E9F5B" w14:textId="77777777">
        <w:tc>
          <w:tcPr>
            <w:tcW w:w="1696" w:type="dxa"/>
          </w:tcPr>
          <w:p w14:paraId="06502955" w14:textId="77777777" w:rsidR="0078217B" w:rsidRDefault="00000000">
            <w:pPr>
              <w:rPr>
                <w:rFonts w:ascii="Montserrat" w:eastAsia="Montserrat" w:hAnsi="Montserrat" w:cs="Montserrat"/>
                <w:b/>
                <w:sz w:val="18"/>
                <w:szCs w:val="18"/>
              </w:rPr>
            </w:pPr>
            <w:r>
              <w:rPr>
                <w:rFonts w:ascii="Montserrat" w:eastAsia="Montserrat" w:hAnsi="Montserrat" w:cs="Montserrat"/>
                <w:b/>
                <w:sz w:val="18"/>
                <w:szCs w:val="18"/>
              </w:rPr>
              <w:t>WHEREAS</w:t>
            </w:r>
          </w:p>
        </w:tc>
        <w:tc>
          <w:tcPr>
            <w:tcW w:w="7700" w:type="dxa"/>
            <w:gridSpan w:val="2"/>
          </w:tcPr>
          <w:p w14:paraId="4C4E6251" w14:textId="77777777" w:rsidR="0078217B" w:rsidRDefault="00000000">
            <w:pPr>
              <w:spacing w:after="240"/>
              <w:jc w:val="both"/>
              <w:rPr>
                <w:rFonts w:ascii="Montserrat" w:eastAsia="Montserrat" w:hAnsi="Montserrat" w:cs="Montserrat"/>
                <w:sz w:val="18"/>
                <w:szCs w:val="18"/>
              </w:rPr>
            </w:pPr>
            <w:r>
              <w:rPr>
                <w:rFonts w:ascii="Montserrat" w:eastAsia="Montserrat" w:hAnsi="Montserrat" w:cs="Montserrat"/>
                <w:sz w:val="18"/>
                <w:szCs w:val="18"/>
              </w:rPr>
              <w:t>The St. Lawrence River watershed plays an essential role for all forms of life by supporting a rich diversity of species and ecosystems, supplying wetlands and other aquatic habitats with water, and providing vital nutrients to coastal estuaries and to the oceans, by transporting sediment to deltas and performing other essential ecological functions;</w:t>
            </w:r>
          </w:p>
        </w:tc>
      </w:tr>
      <w:tr w:rsidR="0078217B" w14:paraId="4C36E591" w14:textId="77777777">
        <w:tc>
          <w:tcPr>
            <w:tcW w:w="1696" w:type="dxa"/>
          </w:tcPr>
          <w:p w14:paraId="0FD44F69" w14:textId="77777777" w:rsidR="0078217B" w:rsidRDefault="00000000">
            <w:pPr>
              <w:rPr>
                <w:rFonts w:ascii="Montserrat" w:eastAsia="Montserrat" w:hAnsi="Montserrat" w:cs="Montserrat"/>
                <w:b/>
                <w:sz w:val="18"/>
                <w:szCs w:val="18"/>
              </w:rPr>
            </w:pPr>
            <w:r>
              <w:rPr>
                <w:rFonts w:ascii="Montserrat" w:eastAsia="Montserrat" w:hAnsi="Montserrat" w:cs="Montserrat"/>
                <w:b/>
                <w:sz w:val="18"/>
                <w:szCs w:val="18"/>
              </w:rPr>
              <w:t>WHEREAS</w:t>
            </w:r>
          </w:p>
        </w:tc>
        <w:tc>
          <w:tcPr>
            <w:tcW w:w="7700" w:type="dxa"/>
            <w:gridSpan w:val="2"/>
          </w:tcPr>
          <w:p w14:paraId="5EF7319B" w14:textId="77777777" w:rsidR="0078217B" w:rsidRDefault="00000000">
            <w:pPr>
              <w:spacing w:after="240"/>
              <w:jc w:val="both"/>
              <w:rPr>
                <w:rFonts w:ascii="Montserrat" w:eastAsia="Montserrat" w:hAnsi="Montserrat" w:cs="Montserrat"/>
                <w:sz w:val="18"/>
                <w:szCs w:val="18"/>
              </w:rPr>
            </w:pPr>
            <w:r>
              <w:rPr>
                <w:rFonts w:ascii="Montserrat" w:eastAsia="Montserrat" w:hAnsi="Montserrat" w:cs="Montserrat"/>
                <w:sz w:val="18"/>
                <w:szCs w:val="18"/>
              </w:rPr>
              <w:t xml:space="preserve">the watershed of the St. Lawrence River plays a central role in the identity, history, </w:t>
            </w:r>
            <w:proofErr w:type="gramStart"/>
            <w:r>
              <w:rPr>
                <w:rFonts w:ascii="Montserrat" w:eastAsia="Montserrat" w:hAnsi="Montserrat" w:cs="Montserrat"/>
                <w:sz w:val="18"/>
                <w:szCs w:val="18"/>
              </w:rPr>
              <w:t>culture</w:t>
            </w:r>
            <w:proofErr w:type="gramEnd"/>
            <w:r>
              <w:rPr>
                <w:rFonts w:ascii="Montserrat" w:eastAsia="Montserrat" w:hAnsi="Montserrat" w:cs="Montserrat"/>
                <w:sz w:val="18"/>
                <w:szCs w:val="18"/>
              </w:rPr>
              <w:t xml:space="preserve"> and economy of the Nations that make up Quebec; that it contributes to the quality of life of local communities;</w:t>
            </w:r>
          </w:p>
        </w:tc>
      </w:tr>
      <w:tr w:rsidR="0078217B" w14:paraId="500DCD4E" w14:textId="77777777">
        <w:tc>
          <w:tcPr>
            <w:tcW w:w="1696" w:type="dxa"/>
          </w:tcPr>
          <w:p w14:paraId="7111D8D8" w14:textId="77777777" w:rsidR="0078217B" w:rsidRDefault="00000000">
            <w:pPr>
              <w:rPr>
                <w:rFonts w:ascii="Montserrat" w:eastAsia="Montserrat" w:hAnsi="Montserrat" w:cs="Montserrat"/>
                <w:b/>
                <w:sz w:val="18"/>
                <w:szCs w:val="18"/>
              </w:rPr>
            </w:pPr>
            <w:r>
              <w:rPr>
                <w:rFonts w:ascii="Montserrat" w:eastAsia="Montserrat" w:hAnsi="Montserrat" w:cs="Montserrat"/>
                <w:b/>
                <w:sz w:val="18"/>
                <w:szCs w:val="18"/>
              </w:rPr>
              <w:t>WHEREAS</w:t>
            </w:r>
          </w:p>
        </w:tc>
        <w:tc>
          <w:tcPr>
            <w:tcW w:w="7700" w:type="dxa"/>
            <w:gridSpan w:val="2"/>
          </w:tcPr>
          <w:p w14:paraId="54B8C942" w14:textId="77777777" w:rsidR="0078217B" w:rsidRDefault="00000000">
            <w:pPr>
              <w:spacing w:after="240"/>
              <w:jc w:val="both"/>
              <w:rPr>
                <w:rFonts w:ascii="Montserrat" w:eastAsia="Montserrat" w:hAnsi="Montserrat" w:cs="Montserrat"/>
                <w:sz w:val="18"/>
                <w:szCs w:val="18"/>
              </w:rPr>
            </w:pPr>
            <w:r>
              <w:rPr>
                <w:rFonts w:ascii="Montserrat" w:eastAsia="Montserrat" w:hAnsi="Montserrat" w:cs="Montserrat"/>
                <w:sz w:val="18"/>
                <w:szCs w:val="18"/>
              </w:rPr>
              <w:t>the St. Lawrence River watershed also has intrinsic value, independent of the benefits it provides to human and non-human populations, which must be protected from threats such as climate change and emerging pollutants;</w:t>
            </w:r>
          </w:p>
        </w:tc>
      </w:tr>
      <w:tr w:rsidR="0078217B" w14:paraId="52A42E12" w14:textId="77777777">
        <w:tc>
          <w:tcPr>
            <w:tcW w:w="1696" w:type="dxa"/>
          </w:tcPr>
          <w:p w14:paraId="3C8A0B7E" w14:textId="77777777" w:rsidR="0078217B" w:rsidRDefault="00000000">
            <w:pPr>
              <w:rPr>
                <w:rFonts w:ascii="Montserrat" w:eastAsia="Montserrat" w:hAnsi="Montserrat" w:cs="Montserrat"/>
                <w:b/>
                <w:sz w:val="18"/>
                <w:szCs w:val="18"/>
              </w:rPr>
            </w:pPr>
            <w:r>
              <w:rPr>
                <w:rFonts w:ascii="Montserrat" w:eastAsia="Montserrat" w:hAnsi="Montserrat" w:cs="Montserrat"/>
                <w:b/>
                <w:sz w:val="18"/>
                <w:szCs w:val="18"/>
              </w:rPr>
              <w:t>WHEREAS</w:t>
            </w:r>
          </w:p>
        </w:tc>
        <w:tc>
          <w:tcPr>
            <w:tcW w:w="7700" w:type="dxa"/>
            <w:gridSpan w:val="2"/>
          </w:tcPr>
          <w:p w14:paraId="16E7B8AB" w14:textId="77777777" w:rsidR="0078217B" w:rsidRDefault="00000000">
            <w:pPr>
              <w:spacing w:after="240"/>
              <w:jc w:val="both"/>
              <w:rPr>
                <w:rFonts w:ascii="Montserrat" w:eastAsia="Montserrat" w:hAnsi="Montserrat" w:cs="Montserrat"/>
                <w:sz w:val="18"/>
                <w:szCs w:val="18"/>
              </w:rPr>
            </w:pPr>
            <w:r>
              <w:rPr>
                <w:rFonts w:ascii="Montserrat" w:eastAsia="Montserrat" w:hAnsi="Montserrat" w:cs="Montserrat"/>
                <w:sz w:val="18"/>
                <w:szCs w:val="18"/>
              </w:rPr>
              <w:t xml:space="preserve">the current legal framework, although constantly evolving, struggles to ensure sufficient protection of the St. Lawrence River and its tributaries, which are undergoing accelerated deterioration requiring immediate action </w:t>
            </w:r>
            <w:r>
              <w:rPr>
                <w:rFonts w:ascii="Montserrat" w:eastAsia="Montserrat" w:hAnsi="Montserrat" w:cs="Montserrat"/>
                <w:sz w:val="18"/>
                <w:szCs w:val="18"/>
                <w:vertAlign w:val="superscript"/>
              </w:rPr>
              <w:footnoteReference w:id="1"/>
            </w:r>
            <w:r>
              <w:rPr>
                <w:rFonts w:ascii="Montserrat" w:eastAsia="Montserrat" w:hAnsi="Montserrat" w:cs="Montserrat"/>
                <w:sz w:val="18"/>
                <w:szCs w:val="18"/>
              </w:rPr>
              <w:t>;</w:t>
            </w:r>
          </w:p>
        </w:tc>
      </w:tr>
      <w:tr w:rsidR="0078217B" w14:paraId="3D62F46E" w14:textId="77777777">
        <w:tc>
          <w:tcPr>
            <w:tcW w:w="1696" w:type="dxa"/>
          </w:tcPr>
          <w:p w14:paraId="7F8839FC" w14:textId="77777777" w:rsidR="0078217B" w:rsidRDefault="00000000">
            <w:pPr>
              <w:rPr>
                <w:rFonts w:ascii="Montserrat" w:eastAsia="Montserrat" w:hAnsi="Montserrat" w:cs="Montserrat"/>
                <w:b/>
                <w:sz w:val="18"/>
                <w:szCs w:val="18"/>
              </w:rPr>
            </w:pPr>
            <w:r>
              <w:rPr>
                <w:rFonts w:ascii="Montserrat" w:eastAsia="Montserrat" w:hAnsi="Montserrat" w:cs="Montserrat"/>
                <w:b/>
                <w:sz w:val="18"/>
                <w:szCs w:val="18"/>
              </w:rPr>
              <w:t>WHEREAS</w:t>
            </w:r>
          </w:p>
        </w:tc>
        <w:tc>
          <w:tcPr>
            <w:tcW w:w="7700" w:type="dxa"/>
            <w:gridSpan w:val="2"/>
          </w:tcPr>
          <w:p w14:paraId="28256365" w14:textId="77777777" w:rsidR="0078217B" w:rsidRDefault="00000000">
            <w:pPr>
              <w:spacing w:after="240"/>
              <w:jc w:val="both"/>
              <w:rPr>
                <w:rFonts w:ascii="Montserrat" w:eastAsia="Montserrat" w:hAnsi="Montserrat" w:cs="Montserrat"/>
                <w:sz w:val="18"/>
                <w:szCs w:val="18"/>
              </w:rPr>
            </w:pPr>
            <w:r>
              <w:rPr>
                <w:rFonts w:ascii="Montserrat" w:eastAsia="Montserrat" w:hAnsi="Montserrat" w:cs="Montserrat"/>
                <w:sz w:val="18"/>
                <w:szCs w:val="18"/>
              </w:rPr>
              <w:t xml:space="preserve">a paradigm shift must take place </w:t>
            </w:r>
            <w:proofErr w:type="gramStart"/>
            <w:r>
              <w:rPr>
                <w:rFonts w:ascii="Montserrat" w:eastAsia="Montserrat" w:hAnsi="Montserrat" w:cs="Montserrat"/>
                <w:sz w:val="18"/>
                <w:szCs w:val="18"/>
              </w:rPr>
              <w:t>in order to</w:t>
            </w:r>
            <w:proofErr w:type="gramEnd"/>
            <w:r>
              <w:rPr>
                <w:rFonts w:ascii="Montserrat" w:eastAsia="Montserrat" w:hAnsi="Montserrat" w:cs="Montserrat"/>
                <w:sz w:val="18"/>
                <w:szCs w:val="18"/>
              </w:rPr>
              <w:t xml:space="preserve"> conceive of Nature as a subject of law that must be respected, protected and preserved;</w:t>
            </w:r>
          </w:p>
        </w:tc>
      </w:tr>
      <w:tr w:rsidR="0078217B" w14:paraId="1809FFB1" w14:textId="77777777">
        <w:tc>
          <w:tcPr>
            <w:tcW w:w="1696" w:type="dxa"/>
          </w:tcPr>
          <w:p w14:paraId="1847F887" w14:textId="77777777" w:rsidR="0078217B" w:rsidRDefault="00000000">
            <w:pPr>
              <w:rPr>
                <w:rFonts w:ascii="Montserrat" w:eastAsia="Montserrat" w:hAnsi="Montserrat" w:cs="Montserrat"/>
                <w:b/>
                <w:sz w:val="18"/>
                <w:szCs w:val="18"/>
              </w:rPr>
            </w:pPr>
            <w:r>
              <w:rPr>
                <w:rFonts w:ascii="Montserrat" w:eastAsia="Montserrat" w:hAnsi="Montserrat" w:cs="Montserrat"/>
                <w:b/>
                <w:sz w:val="18"/>
                <w:szCs w:val="18"/>
              </w:rPr>
              <w:t>WHEREAS</w:t>
            </w:r>
          </w:p>
        </w:tc>
        <w:tc>
          <w:tcPr>
            <w:tcW w:w="7700" w:type="dxa"/>
            <w:gridSpan w:val="2"/>
          </w:tcPr>
          <w:p w14:paraId="1C162158" w14:textId="77777777" w:rsidR="0078217B" w:rsidRDefault="00000000">
            <w:pPr>
              <w:spacing w:after="240"/>
              <w:jc w:val="both"/>
              <w:rPr>
                <w:rFonts w:ascii="Montserrat" w:eastAsia="Montserrat" w:hAnsi="Montserrat" w:cs="Montserrat"/>
                <w:sz w:val="18"/>
                <w:szCs w:val="18"/>
              </w:rPr>
            </w:pPr>
            <w:r>
              <w:rPr>
                <w:rFonts w:ascii="Montserrat" w:eastAsia="Montserrat" w:hAnsi="Montserrat" w:cs="Montserrat"/>
                <w:sz w:val="18"/>
                <w:szCs w:val="18"/>
              </w:rPr>
              <w:t>the recognition of the rights of Nature, in complementarity with the legal tools currently in place, promotes the protection of ecosystems by giving them legal personality;</w:t>
            </w:r>
          </w:p>
        </w:tc>
      </w:tr>
      <w:tr w:rsidR="0078217B" w14:paraId="3AFC5262" w14:textId="77777777">
        <w:tc>
          <w:tcPr>
            <w:tcW w:w="1696" w:type="dxa"/>
          </w:tcPr>
          <w:p w14:paraId="52A2F128" w14:textId="77777777" w:rsidR="0078217B" w:rsidRDefault="00000000">
            <w:pPr>
              <w:rPr>
                <w:rFonts w:ascii="Montserrat" w:eastAsia="Montserrat" w:hAnsi="Montserrat" w:cs="Montserrat"/>
                <w:b/>
                <w:sz w:val="18"/>
                <w:szCs w:val="18"/>
              </w:rPr>
            </w:pPr>
            <w:r>
              <w:rPr>
                <w:rFonts w:ascii="Montserrat" w:eastAsia="Montserrat" w:hAnsi="Montserrat" w:cs="Montserrat"/>
                <w:b/>
                <w:sz w:val="18"/>
                <w:szCs w:val="18"/>
              </w:rPr>
              <w:t>WHEREAS</w:t>
            </w:r>
          </w:p>
        </w:tc>
        <w:tc>
          <w:tcPr>
            <w:tcW w:w="7700" w:type="dxa"/>
            <w:gridSpan w:val="2"/>
          </w:tcPr>
          <w:p w14:paraId="500A6CCA" w14:textId="77777777" w:rsidR="0078217B" w:rsidRDefault="00000000">
            <w:pPr>
              <w:spacing w:after="240"/>
              <w:ind w:left="29"/>
              <w:jc w:val="both"/>
              <w:rPr>
                <w:rFonts w:ascii="Montserrat" w:eastAsia="Montserrat" w:hAnsi="Montserrat" w:cs="Montserrat"/>
                <w:sz w:val="18"/>
                <w:szCs w:val="18"/>
              </w:rPr>
            </w:pPr>
            <w:r>
              <w:rPr>
                <w:rFonts w:ascii="Montserrat" w:eastAsia="Montserrat" w:hAnsi="Montserrat" w:cs="Montserrat"/>
                <w:sz w:val="18"/>
                <w:szCs w:val="18"/>
              </w:rPr>
              <w:t xml:space="preserve">the Quebec state has already recognized in </w:t>
            </w:r>
            <w:r>
              <w:rPr>
                <w:rFonts w:ascii="Montserrat" w:eastAsia="Montserrat" w:hAnsi="Montserrat" w:cs="Montserrat"/>
                <w:i/>
                <w:sz w:val="18"/>
                <w:szCs w:val="18"/>
              </w:rPr>
              <w:t xml:space="preserve">the Civil Code of Quebec </w:t>
            </w:r>
            <w:r>
              <w:rPr>
                <w:rFonts w:ascii="Montserrat" w:eastAsia="Montserrat" w:hAnsi="Montserrat" w:cs="Montserrat"/>
                <w:sz w:val="18"/>
                <w:szCs w:val="18"/>
              </w:rPr>
              <w:t xml:space="preserve">the biocentric approach under which animals are no longer objects, but are considered living beings endowed with sensitivity and biological imperatives </w:t>
            </w:r>
            <w:r>
              <w:rPr>
                <w:rFonts w:ascii="Montserrat" w:eastAsia="Montserrat" w:hAnsi="Montserrat" w:cs="Montserrat"/>
                <w:sz w:val="18"/>
                <w:szCs w:val="18"/>
                <w:vertAlign w:val="superscript"/>
              </w:rPr>
              <w:footnoteReference w:id="2"/>
            </w:r>
            <w:r>
              <w:rPr>
                <w:rFonts w:ascii="Montserrat" w:eastAsia="Montserrat" w:hAnsi="Montserrat" w:cs="Montserrat"/>
                <w:sz w:val="18"/>
                <w:szCs w:val="18"/>
              </w:rPr>
              <w:t>;</w:t>
            </w:r>
          </w:p>
        </w:tc>
      </w:tr>
      <w:tr w:rsidR="0078217B" w14:paraId="7B2D93DC" w14:textId="77777777">
        <w:tc>
          <w:tcPr>
            <w:tcW w:w="1696" w:type="dxa"/>
          </w:tcPr>
          <w:p w14:paraId="7CF13AA3" w14:textId="77777777" w:rsidR="0078217B" w:rsidRDefault="00000000">
            <w:pPr>
              <w:rPr>
                <w:rFonts w:ascii="Montserrat" w:eastAsia="Montserrat" w:hAnsi="Montserrat" w:cs="Montserrat"/>
                <w:b/>
                <w:sz w:val="18"/>
                <w:szCs w:val="18"/>
              </w:rPr>
            </w:pPr>
            <w:r>
              <w:rPr>
                <w:rFonts w:ascii="Montserrat" w:eastAsia="Montserrat" w:hAnsi="Montserrat" w:cs="Montserrat"/>
                <w:b/>
                <w:sz w:val="18"/>
                <w:szCs w:val="18"/>
              </w:rPr>
              <w:t>WHEREAS</w:t>
            </w:r>
          </w:p>
        </w:tc>
        <w:tc>
          <w:tcPr>
            <w:tcW w:w="7700" w:type="dxa"/>
            <w:gridSpan w:val="2"/>
          </w:tcPr>
          <w:p w14:paraId="4D637287" w14:textId="77777777" w:rsidR="0078217B" w:rsidRDefault="00000000">
            <w:pPr>
              <w:spacing w:after="240"/>
              <w:jc w:val="both"/>
              <w:rPr>
                <w:rFonts w:ascii="Montserrat" w:eastAsia="Montserrat" w:hAnsi="Montserrat" w:cs="Montserrat"/>
                <w:sz w:val="18"/>
                <w:szCs w:val="18"/>
              </w:rPr>
            </w:pPr>
            <w:r>
              <w:rPr>
                <w:rFonts w:ascii="Montserrat" w:eastAsia="Montserrat" w:hAnsi="Montserrat" w:cs="Montserrat"/>
                <w:sz w:val="18"/>
                <w:szCs w:val="18"/>
              </w:rPr>
              <w:t xml:space="preserve">municipalities (e.g. the MRC of </w:t>
            </w:r>
            <w:proofErr w:type="spellStart"/>
            <w:r>
              <w:rPr>
                <w:rFonts w:ascii="Montserrat" w:eastAsia="Montserrat" w:hAnsi="Montserrat" w:cs="Montserrat"/>
                <w:sz w:val="18"/>
                <w:szCs w:val="18"/>
              </w:rPr>
              <w:t>Minganie</w:t>
            </w:r>
            <w:proofErr w:type="spellEnd"/>
            <w:r>
              <w:rPr>
                <w:rFonts w:ascii="Montserrat" w:eastAsia="Montserrat" w:hAnsi="Montserrat" w:cs="Montserrat"/>
                <w:sz w:val="18"/>
                <w:szCs w:val="18"/>
              </w:rPr>
              <w:t xml:space="preserve"> in Quebec, Mexico City (Mexico), Tamaqua Borough (PA, USA), Orange County (FL, USA), Crestone (CL, USA), Santa Monica and San Francisco (CA , USA), among others, territories (e.g. Victoria in Australia and Colima, Oaxaca and Guerrero in Mexico), countries (e.g. Ecuador, Bolivia and Aotearoa/New Zealand) and other jurisdictions around the world have recognized the legal status and rights of Nature </w:t>
            </w:r>
            <w:r>
              <w:rPr>
                <w:rFonts w:ascii="Montserrat" w:eastAsia="Montserrat" w:hAnsi="Montserrat" w:cs="Montserrat"/>
                <w:sz w:val="18"/>
                <w:szCs w:val="18"/>
                <w:vertAlign w:val="superscript"/>
              </w:rPr>
              <w:footnoteReference w:id="3"/>
            </w:r>
            <w:r>
              <w:rPr>
                <w:rFonts w:ascii="Montserrat" w:eastAsia="Montserrat" w:hAnsi="Montserrat" w:cs="Montserrat"/>
                <w:sz w:val="18"/>
                <w:szCs w:val="18"/>
              </w:rPr>
              <w:t>for natural entities and ecosystems such as rivers;</w:t>
            </w:r>
          </w:p>
        </w:tc>
      </w:tr>
      <w:tr w:rsidR="0078217B" w14:paraId="10F4BE89" w14:textId="77777777">
        <w:tc>
          <w:tcPr>
            <w:tcW w:w="1696" w:type="dxa"/>
          </w:tcPr>
          <w:p w14:paraId="1E8E5191" w14:textId="77777777" w:rsidR="0078217B" w:rsidRDefault="00000000">
            <w:pPr>
              <w:rPr>
                <w:rFonts w:ascii="Montserrat" w:eastAsia="Montserrat" w:hAnsi="Montserrat" w:cs="Montserrat"/>
                <w:b/>
                <w:sz w:val="18"/>
                <w:szCs w:val="18"/>
              </w:rPr>
            </w:pPr>
            <w:r>
              <w:rPr>
                <w:rFonts w:ascii="Montserrat" w:eastAsia="Montserrat" w:hAnsi="Montserrat" w:cs="Montserrat"/>
                <w:b/>
                <w:sz w:val="18"/>
                <w:szCs w:val="18"/>
              </w:rPr>
              <w:t>WHEREAS</w:t>
            </w:r>
          </w:p>
        </w:tc>
        <w:tc>
          <w:tcPr>
            <w:tcW w:w="7700" w:type="dxa"/>
            <w:gridSpan w:val="2"/>
          </w:tcPr>
          <w:p w14:paraId="54DBD7DB" w14:textId="77777777" w:rsidR="0078217B" w:rsidRDefault="00000000">
            <w:pPr>
              <w:spacing w:after="240"/>
              <w:jc w:val="both"/>
              <w:rPr>
                <w:rFonts w:ascii="Montserrat" w:eastAsia="Montserrat" w:hAnsi="Montserrat" w:cs="Montserrat"/>
                <w:sz w:val="18"/>
                <w:szCs w:val="18"/>
              </w:rPr>
            </w:pPr>
            <w:r>
              <w:rPr>
                <w:rFonts w:ascii="Montserrat" w:eastAsia="Montserrat" w:hAnsi="Montserrat" w:cs="Montserrat"/>
                <w:sz w:val="18"/>
                <w:szCs w:val="18"/>
              </w:rPr>
              <w:t xml:space="preserve">the </w:t>
            </w:r>
            <w:r>
              <w:rPr>
                <w:rFonts w:ascii="Montserrat" w:eastAsia="Montserrat" w:hAnsi="Montserrat" w:cs="Montserrat"/>
                <w:i/>
                <w:sz w:val="18"/>
                <w:szCs w:val="18"/>
              </w:rPr>
              <w:t xml:space="preserve">International Observatory for the Rights of Nature </w:t>
            </w:r>
            <w:r>
              <w:rPr>
                <w:rFonts w:ascii="Montserrat" w:eastAsia="Montserrat" w:hAnsi="Montserrat" w:cs="Montserrat"/>
                <w:sz w:val="18"/>
                <w:szCs w:val="18"/>
              </w:rPr>
              <w:t xml:space="preserve">in partnership with </w:t>
            </w:r>
            <w:proofErr w:type="spellStart"/>
            <w:r>
              <w:rPr>
                <w:rFonts w:ascii="Montserrat" w:eastAsia="Montserrat" w:hAnsi="Montserrat" w:cs="Montserrat"/>
                <w:i/>
                <w:sz w:val="18"/>
                <w:szCs w:val="18"/>
              </w:rPr>
              <w:t>Eau</w:t>
            </w:r>
            <w:proofErr w:type="spellEnd"/>
            <w:r>
              <w:rPr>
                <w:rFonts w:ascii="Montserrat" w:eastAsia="Montserrat" w:hAnsi="Montserrat" w:cs="Montserrat"/>
                <w:i/>
                <w:sz w:val="18"/>
                <w:szCs w:val="18"/>
              </w:rPr>
              <w:t xml:space="preserve"> </w:t>
            </w:r>
            <w:proofErr w:type="gramStart"/>
            <w:r>
              <w:rPr>
                <w:rFonts w:ascii="Montserrat" w:eastAsia="Montserrat" w:hAnsi="Montserrat" w:cs="Montserrat"/>
                <w:i/>
                <w:sz w:val="18"/>
                <w:szCs w:val="18"/>
              </w:rPr>
              <w:t xml:space="preserve">Secours </w:t>
            </w:r>
            <w:r>
              <w:rPr>
                <w:rFonts w:ascii="Montserrat" w:eastAsia="Montserrat" w:hAnsi="Montserrat" w:cs="Montserrat"/>
                <w:sz w:val="18"/>
                <w:szCs w:val="18"/>
              </w:rPr>
              <w:t>,</w:t>
            </w:r>
            <w:proofErr w:type="gramEnd"/>
            <w:r>
              <w:rPr>
                <w:rFonts w:ascii="Montserrat" w:eastAsia="Montserrat" w:hAnsi="Montserrat" w:cs="Montserrat"/>
                <w:sz w:val="18"/>
                <w:szCs w:val="18"/>
              </w:rPr>
              <w:t xml:space="preserve"> </w:t>
            </w:r>
            <w:proofErr w:type="spellStart"/>
            <w:r>
              <w:rPr>
                <w:rFonts w:ascii="Montserrat" w:eastAsia="Montserrat" w:hAnsi="Montserrat" w:cs="Montserrat"/>
                <w:i/>
                <w:sz w:val="18"/>
                <w:szCs w:val="18"/>
              </w:rPr>
              <w:t>Stratégies</w:t>
            </w:r>
            <w:proofErr w:type="spellEnd"/>
            <w:r>
              <w:rPr>
                <w:rFonts w:ascii="Montserrat" w:eastAsia="Montserrat" w:hAnsi="Montserrat" w:cs="Montserrat"/>
                <w:i/>
                <w:sz w:val="18"/>
                <w:szCs w:val="18"/>
              </w:rPr>
              <w:t xml:space="preserve"> Saint-Laurent, le </w:t>
            </w:r>
            <w:proofErr w:type="spellStart"/>
            <w:r>
              <w:rPr>
                <w:rFonts w:ascii="Montserrat" w:eastAsia="Montserrat" w:hAnsi="Montserrat" w:cs="Montserrat"/>
                <w:i/>
                <w:sz w:val="18"/>
                <w:szCs w:val="18"/>
              </w:rPr>
              <w:t>Semoir</w:t>
            </w:r>
            <w:proofErr w:type="spellEnd"/>
            <w:r>
              <w:rPr>
                <w:rFonts w:ascii="Montserrat" w:eastAsia="Montserrat" w:hAnsi="Montserrat" w:cs="Montserrat"/>
                <w:i/>
                <w:sz w:val="18"/>
                <w:szCs w:val="18"/>
              </w:rPr>
              <w:t xml:space="preserve">, </w:t>
            </w:r>
            <w:proofErr w:type="spellStart"/>
            <w:r>
              <w:rPr>
                <w:rFonts w:ascii="Montserrat" w:eastAsia="Montserrat" w:hAnsi="Montserrat" w:cs="Montserrat"/>
                <w:i/>
                <w:sz w:val="18"/>
                <w:szCs w:val="18"/>
              </w:rPr>
              <w:t>Arbre-Évolution</w:t>
            </w:r>
            <w:proofErr w:type="spellEnd"/>
            <w:r>
              <w:rPr>
                <w:rFonts w:ascii="Montserrat" w:eastAsia="Montserrat" w:hAnsi="Montserrat" w:cs="Montserrat"/>
                <w:i/>
                <w:sz w:val="18"/>
                <w:szCs w:val="18"/>
              </w:rPr>
              <w:t xml:space="preserve"> </w:t>
            </w:r>
            <w:r>
              <w:rPr>
                <w:rFonts w:ascii="Montserrat" w:eastAsia="Montserrat" w:hAnsi="Montserrat" w:cs="Montserrat"/>
                <w:sz w:val="18"/>
                <w:szCs w:val="18"/>
              </w:rPr>
              <w:t xml:space="preserve">and several partners from various backgrounds are building an </w:t>
            </w:r>
            <w:r>
              <w:rPr>
                <w:rFonts w:ascii="Montserrat" w:eastAsia="Montserrat" w:hAnsi="Montserrat" w:cs="Montserrat"/>
                <w:i/>
                <w:sz w:val="18"/>
                <w:szCs w:val="18"/>
              </w:rPr>
              <w:t xml:space="preserve">Alliance around the St. Lawrence River and its watershed </w:t>
            </w:r>
            <w:r>
              <w:rPr>
                <w:rFonts w:ascii="Montserrat" w:eastAsia="Montserrat" w:hAnsi="Montserrat" w:cs="Montserrat"/>
                <w:sz w:val="18"/>
                <w:szCs w:val="18"/>
              </w:rPr>
              <w:t>, with the aim of propose a law that will recognize the legal personality of this ecosystem;</w:t>
            </w:r>
          </w:p>
        </w:tc>
      </w:tr>
      <w:tr w:rsidR="0078217B" w14:paraId="59B9E64D" w14:textId="77777777">
        <w:tc>
          <w:tcPr>
            <w:tcW w:w="1696" w:type="dxa"/>
          </w:tcPr>
          <w:p w14:paraId="183E364F" w14:textId="77777777" w:rsidR="0078217B" w:rsidRDefault="00000000">
            <w:pPr>
              <w:rPr>
                <w:rFonts w:ascii="Montserrat" w:eastAsia="Montserrat" w:hAnsi="Montserrat" w:cs="Montserrat"/>
                <w:b/>
                <w:sz w:val="18"/>
                <w:szCs w:val="18"/>
              </w:rPr>
            </w:pPr>
            <w:r>
              <w:rPr>
                <w:rFonts w:ascii="Montserrat" w:eastAsia="Montserrat" w:hAnsi="Montserrat" w:cs="Montserrat"/>
                <w:b/>
                <w:sz w:val="18"/>
                <w:szCs w:val="18"/>
              </w:rPr>
              <w:t>WHEREAS</w:t>
            </w:r>
          </w:p>
        </w:tc>
        <w:tc>
          <w:tcPr>
            <w:tcW w:w="7700" w:type="dxa"/>
            <w:gridSpan w:val="2"/>
          </w:tcPr>
          <w:p w14:paraId="25B63271" w14:textId="77777777" w:rsidR="0078217B" w:rsidRDefault="00000000">
            <w:pPr>
              <w:spacing w:after="240"/>
              <w:jc w:val="both"/>
              <w:rPr>
                <w:rFonts w:ascii="Montserrat" w:eastAsia="Montserrat" w:hAnsi="Montserrat" w:cs="Montserrat"/>
                <w:sz w:val="18"/>
                <w:szCs w:val="18"/>
              </w:rPr>
            </w:pPr>
            <w:r>
              <w:rPr>
                <w:rFonts w:ascii="Montserrat" w:eastAsia="Montserrat" w:hAnsi="Montserrat" w:cs="Montserrat"/>
                <w:sz w:val="18"/>
                <w:szCs w:val="18"/>
              </w:rPr>
              <w:t xml:space="preserve">municipalities are key players in the protection of water, the environment and biodiversity who can participate in the transformation of the structures at the origin of climate change and the degradation of ecosystems </w:t>
            </w:r>
            <w:proofErr w:type="gramStart"/>
            <w:r>
              <w:rPr>
                <w:rFonts w:ascii="Montserrat" w:eastAsia="Montserrat" w:hAnsi="Montserrat" w:cs="Montserrat"/>
                <w:sz w:val="18"/>
                <w:szCs w:val="18"/>
              </w:rPr>
              <w:t>in order to</w:t>
            </w:r>
            <w:proofErr w:type="gramEnd"/>
            <w:r>
              <w:rPr>
                <w:rFonts w:ascii="Montserrat" w:eastAsia="Montserrat" w:hAnsi="Montserrat" w:cs="Montserrat"/>
                <w:sz w:val="18"/>
                <w:szCs w:val="18"/>
              </w:rPr>
              <w:t xml:space="preserve"> ensure a healthy environment and ecologically balanced to respect the rights of current and future generations;</w:t>
            </w:r>
          </w:p>
        </w:tc>
      </w:tr>
      <w:tr w:rsidR="0078217B" w14:paraId="146877FE" w14:textId="77777777">
        <w:tc>
          <w:tcPr>
            <w:tcW w:w="1696" w:type="dxa"/>
          </w:tcPr>
          <w:p w14:paraId="4BC4FC3A" w14:textId="77777777" w:rsidR="0078217B" w:rsidRDefault="00000000">
            <w:pPr>
              <w:rPr>
                <w:rFonts w:ascii="Montserrat" w:eastAsia="Montserrat" w:hAnsi="Montserrat" w:cs="Montserrat"/>
                <w:b/>
                <w:sz w:val="18"/>
                <w:szCs w:val="18"/>
              </w:rPr>
            </w:pPr>
            <w:r>
              <w:rPr>
                <w:rFonts w:ascii="Montserrat" w:eastAsia="Montserrat" w:hAnsi="Montserrat" w:cs="Montserrat"/>
                <w:b/>
                <w:sz w:val="18"/>
                <w:szCs w:val="18"/>
              </w:rPr>
              <w:t>WHEREAS</w:t>
            </w:r>
          </w:p>
        </w:tc>
        <w:tc>
          <w:tcPr>
            <w:tcW w:w="7700" w:type="dxa"/>
            <w:gridSpan w:val="2"/>
          </w:tcPr>
          <w:p w14:paraId="5F0D1842" w14:textId="77777777" w:rsidR="0078217B" w:rsidRDefault="00000000">
            <w:pPr>
              <w:spacing w:after="240"/>
              <w:jc w:val="both"/>
              <w:rPr>
                <w:rFonts w:ascii="Montserrat" w:eastAsia="Montserrat" w:hAnsi="Montserrat" w:cs="Montserrat"/>
                <w:sz w:val="18"/>
                <w:szCs w:val="18"/>
              </w:rPr>
            </w:pPr>
            <w:r>
              <w:rPr>
                <w:rFonts w:ascii="Montserrat" w:eastAsia="Montserrat" w:hAnsi="Montserrat" w:cs="Montserrat"/>
                <w:sz w:val="18"/>
                <w:szCs w:val="18"/>
              </w:rPr>
              <w:t xml:space="preserve">To enable municipalities to carry out this mission, and to offer an adequate quality of life and work, it is essential to remedy the lack of investment in public drinking </w:t>
            </w:r>
            <w:r>
              <w:rPr>
                <w:rFonts w:ascii="Montserrat" w:eastAsia="Montserrat" w:hAnsi="Montserrat" w:cs="Montserrat"/>
                <w:sz w:val="18"/>
                <w:szCs w:val="18"/>
              </w:rPr>
              <w:lastRenderedPageBreak/>
              <w:t>water treatment and sanitation services so that they meet environmental and water quality requirements;</w:t>
            </w:r>
          </w:p>
        </w:tc>
      </w:tr>
      <w:tr w:rsidR="0078217B" w14:paraId="1F2AE691" w14:textId="77777777">
        <w:trPr>
          <w:trHeight w:val="699"/>
        </w:trPr>
        <w:tc>
          <w:tcPr>
            <w:tcW w:w="1696" w:type="dxa"/>
          </w:tcPr>
          <w:p w14:paraId="06D000DA" w14:textId="77777777" w:rsidR="0078217B" w:rsidRDefault="00000000">
            <w:pPr>
              <w:rPr>
                <w:rFonts w:ascii="Montserrat" w:eastAsia="Montserrat" w:hAnsi="Montserrat" w:cs="Montserrat"/>
                <w:b/>
                <w:sz w:val="18"/>
                <w:szCs w:val="18"/>
              </w:rPr>
            </w:pPr>
            <w:r>
              <w:rPr>
                <w:rFonts w:ascii="Montserrat" w:eastAsia="Montserrat" w:hAnsi="Montserrat" w:cs="Montserrat"/>
                <w:b/>
                <w:sz w:val="18"/>
                <w:szCs w:val="18"/>
              </w:rPr>
              <w:lastRenderedPageBreak/>
              <w:t>For these reasons</w:t>
            </w:r>
          </w:p>
        </w:tc>
        <w:tc>
          <w:tcPr>
            <w:tcW w:w="7700" w:type="dxa"/>
            <w:gridSpan w:val="2"/>
          </w:tcPr>
          <w:p w14:paraId="74BD59CC" w14:textId="77777777" w:rsidR="0078217B" w:rsidRDefault="0078217B">
            <w:pPr>
              <w:spacing w:after="240"/>
              <w:jc w:val="both"/>
              <w:rPr>
                <w:rFonts w:ascii="Montserrat" w:eastAsia="Montserrat" w:hAnsi="Montserrat" w:cs="Montserrat"/>
                <w:sz w:val="18"/>
                <w:szCs w:val="18"/>
              </w:rPr>
            </w:pPr>
          </w:p>
        </w:tc>
      </w:tr>
      <w:tr w:rsidR="0078217B" w14:paraId="2AF58807" w14:textId="77777777">
        <w:trPr>
          <w:trHeight w:val="392"/>
        </w:trPr>
        <w:tc>
          <w:tcPr>
            <w:tcW w:w="3544" w:type="dxa"/>
            <w:gridSpan w:val="2"/>
          </w:tcPr>
          <w:p w14:paraId="4BDBFB1A" w14:textId="77777777" w:rsidR="0078217B" w:rsidRDefault="00000000">
            <w:pPr>
              <w:spacing w:after="240"/>
              <w:jc w:val="both"/>
              <w:rPr>
                <w:rFonts w:ascii="Montserrat" w:eastAsia="Montserrat" w:hAnsi="Montserrat" w:cs="Montserrat"/>
                <w:b/>
                <w:sz w:val="18"/>
                <w:szCs w:val="18"/>
              </w:rPr>
            </w:pPr>
            <w:r>
              <w:rPr>
                <w:rFonts w:ascii="Montserrat" w:eastAsia="Montserrat" w:hAnsi="Montserrat" w:cs="Montserrat"/>
                <w:b/>
                <w:sz w:val="18"/>
                <w:szCs w:val="18"/>
              </w:rPr>
              <w:t>BE IT RESOLVED</w:t>
            </w:r>
          </w:p>
        </w:tc>
        <w:tc>
          <w:tcPr>
            <w:tcW w:w="5852" w:type="dxa"/>
          </w:tcPr>
          <w:p w14:paraId="513CF7A6" w14:textId="77777777" w:rsidR="0078217B" w:rsidRDefault="0078217B">
            <w:pPr>
              <w:spacing w:after="240"/>
              <w:jc w:val="both"/>
              <w:rPr>
                <w:rFonts w:ascii="Montserrat" w:eastAsia="Montserrat" w:hAnsi="Montserrat" w:cs="Montserrat"/>
                <w:sz w:val="18"/>
                <w:szCs w:val="18"/>
              </w:rPr>
            </w:pPr>
          </w:p>
        </w:tc>
      </w:tr>
      <w:tr w:rsidR="0078217B" w14:paraId="791B606B" w14:textId="77777777">
        <w:trPr>
          <w:trHeight w:val="1004"/>
        </w:trPr>
        <w:tc>
          <w:tcPr>
            <w:tcW w:w="1696" w:type="dxa"/>
          </w:tcPr>
          <w:p w14:paraId="28703D86" w14:textId="77777777" w:rsidR="0078217B" w:rsidRDefault="00000000">
            <w:pPr>
              <w:rPr>
                <w:rFonts w:ascii="Montserrat" w:eastAsia="Montserrat" w:hAnsi="Montserrat" w:cs="Montserrat"/>
                <w:b/>
                <w:sz w:val="18"/>
                <w:szCs w:val="18"/>
              </w:rPr>
            </w:pPr>
            <w:r>
              <w:rPr>
                <w:rFonts w:ascii="Montserrat" w:eastAsia="Montserrat" w:hAnsi="Montserrat" w:cs="Montserrat"/>
                <w:b/>
                <w:sz w:val="18"/>
                <w:szCs w:val="18"/>
              </w:rPr>
              <w:t>THAT</w:t>
            </w:r>
          </w:p>
        </w:tc>
        <w:tc>
          <w:tcPr>
            <w:tcW w:w="7700" w:type="dxa"/>
            <w:gridSpan w:val="2"/>
          </w:tcPr>
          <w:p w14:paraId="74F5145E" w14:textId="77777777" w:rsidR="0078217B" w:rsidRDefault="00000000">
            <w:pPr>
              <w:spacing w:after="240"/>
              <w:jc w:val="both"/>
              <w:rPr>
                <w:rFonts w:ascii="Montserrat" w:eastAsia="Montserrat" w:hAnsi="Montserrat" w:cs="Montserrat"/>
                <w:sz w:val="18"/>
                <w:szCs w:val="18"/>
              </w:rPr>
            </w:pPr>
            <w:r>
              <w:rPr>
                <w:rFonts w:ascii="Montserrat" w:eastAsia="Montserrat" w:hAnsi="Montserrat" w:cs="Montserrat"/>
                <w:sz w:val="18"/>
                <w:szCs w:val="18"/>
              </w:rPr>
              <w:t>The ______________________________________________________ supports the efforts of the International Observatory for the Rights of Nature and joins the St. Lawrence Alliance, aiming to recognize the legal personality and rights of the St. Lawrence River and its watershed including its tributaries;</w:t>
            </w:r>
          </w:p>
        </w:tc>
      </w:tr>
      <w:tr w:rsidR="0078217B" w14:paraId="4DA28FA7" w14:textId="77777777">
        <w:tc>
          <w:tcPr>
            <w:tcW w:w="1696" w:type="dxa"/>
          </w:tcPr>
          <w:p w14:paraId="2A4ED5E5" w14:textId="77777777" w:rsidR="0078217B" w:rsidRDefault="00000000">
            <w:pPr>
              <w:rPr>
                <w:rFonts w:ascii="Montserrat" w:eastAsia="Montserrat" w:hAnsi="Montserrat" w:cs="Montserrat"/>
                <w:b/>
                <w:sz w:val="18"/>
                <w:szCs w:val="18"/>
              </w:rPr>
            </w:pPr>
            <w:r>
              <w:rPr>
                <w:rFonts w:ascii="Montserrat" w:eastAsia="Montserrat" w:hAnsi="Montserrat" w:cs="Montserrat"/>
                <w:b/>
                <w:sz w:val="18"/>
                <w:szCs w:val="18"/>
              </w:rPr>
              <w:t>THAT</w:t>
            </w:r>
          </w:p>
        </w:tc>
        <w:tc>
          <w:tcPr>
            <w:tcW w:w="7700" w:type="dxa"/>
            <w:gridSpan w:val="2"/>
          </w:tcPr>
          <w:p w14:paraId="2D7070C2" w14:textId="77777777" w:rsidR="0078217B" w:rsidRDefault="00000000">
            <w:pPr>
              <w:spacing w:after="240"/>
              <w:jc w:val="both"/>
              <w:rPr>
                <w:rFonts w:ascii="Montserrat" w:eastAsia="Montserrat" w:hAnsi="Montserrat" w:cs="Montserrat"/>
                <w:sz w:val="18"/>
                <w:szCs w:val="18"/>
              </w:rPr>
            </w:pPr>
            <w:r>
              <w:rPr>
                <w:rFonts w:ascii="Montserrat" w:eastAsia="Montserrat" w:hAnsi="Montserrat" w:cs="Montserrat"/>
                <w:sz w:val="18"/>
                <w:szCs w:val="18"/>
              </w:rPr>
              <w:t>hereby, the _____________________________________________________ expresses its support for the request of government authorities to request the recognition of a new status for the St. Lawrence River and its watershed, that of subject of law;</w:t>
            </w:r>
          </w:p>
        </w:tc>
      </w:tr>
      <w:tr w:rsidR="0078217B" w14:paraId="7475C407" w14:textId="77777777">
        <w:tc>
          <w:tcPr>
            <w:tcW w:w="1696" w:type="dxa"/>
          </w:tcPr>
          <w:p w14:paraId="706DD6F3" w14:textId="77777777" w:rsidR="0078217B" w:rsidRDefault="00000000">
            <w:pPr>
              <w:rPr>
                <w:rFonts w:ascii="Montserrat" w:eastAsia="Montserrat" w:hAnsi="Montserrat" w:cs="Montserrat"/>
                <w:b/>
                <w:sz w:val="18"/>
                <w:szCs w:val="18"/>
              </w:rPr>
            </w:pPr>
            <w:r>
              <w:rPr>
                <w:rFonts w:ascii="Montserrat" w:eastAsia="Montserrat" w:hAnsi="Montserrat" w:cs="Montserrat"/>
                <w:b/>
                <w:sz w:val="18"/>
                <w:szCs w:val="18"/>
              </w:rPr>
              <w:t>THAT</w:t>
            </w:r>
          </w:p>
          <w:p w14:paraId="40DC2DF3" w14:textId="77777777" w:rsidR="0078217B" w:rsidRDefault="0078217B">
            <w:pPr>
              <w:rPr>
                <w:rFonts w:ascii="Montserrat" w:eastAsia="Montserrat" w:hAnsi="Montserrat" w:cs="Montserrat"/>
                <w:b/>
                <w:sz w:val="18"/>
                <w:szCs w:val="18"/>
              </w:rPr>
            </w:pPr>
          </w:p>
          <w:p w14:paraId="59DB9EEA" w14:textId="77777777" w:rsidR="0078217B" w:rsidRDefault="0078217B">
            <w:pPr>
              <w:rPr>
                <w:rFonts w:ascii="Montserrat" w:eastAsia="Montserrat" w:hAnsi="Montserrat" w:cs="Montserrat"/>
                <w:b/>
                <w:sz w:val="18"/>
                <w:szCs w:val="18"/>
              </w:rPr>
            </w:pPr>
          </w:p>
          <w:p w14:paraId="596C5677" w14:textId="77777777" w:rsidR="0078217B" w:rsidRDefault="0078217B">
            <w:pPr>
              <w:rPr>
                <w:rFonts w:ascii="Montserrat" w:eastAsia="Montserrat" w:hAnsi="Montserrat" w:cs="Montserrat"/>
                <w:b/>
                <w:sz w:val="18"/>
                <w:szCs w:val="18"/>
              </w:rPr>
            </w:pPr>
          </w:p>
          <w:p w14:paraId="2C3DFCCE" w14:textId="77777777" w:rsidR="0078217B" w:rsidRDefault="0078217B">
            <w:pPr>
              <w:rPr>
                <w:rFonts w:ascii="Montserrat" w:eastAsia="Montserrat" w:hAnsi="Montserrat" w:cs="Montserrat"/>
                <w:b/>
                <w:sz w:val="18"/>
                <w:szCs w:val="18"/>
              </w:rPr>
            </w:pPr>
          </w:p>
          <w:p w14:paraId="6118420D" w14:textId="77777777" w:rsidR="0078217B" w:rsidRDefault="00000000">
            <w:pPr>
              <w:rPr>
                <w:rFonts w:ascii="Montserrat" w:eastAsia="Montserrat" w:hAnsi="Montserrat" w:cs="Montserrat"/>
                <w:b/>
                <w:sz w:val="18"/>
                <w:szCs w:val="18"/>
              </w:rPr>
            </w:pPr>
            <w:r>
              <w:rPr>
                <w:rFonts w:ascii="Montserrat" w:eastAsia="Montserrat" w:hAnsi="Montserrat" w:cs="Montserrat"/>
                <w:b/>
                <w:sz w:val="18"/>
                <w:szCs w:val="18"/>
              </w:rPr>
              <w:t>THAT</w:t>
            </w:r>
          </w:p>
        </w:tc>
        <w:tc>
          <w:tcPr>
            <w:tcW w:w="7700" w:type="dxa"/>
            <w:gridSpan w:val="2"/>
          </w:tcPr>
          <w:p w14:paraId="7AAAD70B" w14:textId="77777777" w:rsidR="0078217B" w:rsidRDefault="00000000">
            <w:pPr>
              <w:spacing w:after="240"/>
              <w:jc w:val="both"/>
              <w:rPr>
                <w:rFonts w:ascii="Montserrat" w:eastAsia="Montserrat" w:hAnsi="Montserrat" w:cs="Montserrat"/>
                <w:sz w:val="18"/>
                <w:szCs w:val="18"/>
              </w:rPr>
            </w:pPr>
            <w:r>
              <w:rPr>
                <w:rFonts w:ascii="Montserrat" w:eastAsia="Montserrat" w:hAnsi="Montserrat" w:cs="Montserrat"/>
                <w:sz w:val="18"/>
                <w:szCs w:val="18"/>
              </w:rPr>
              <w:t xml:space="preserve">the ______________________________________________________ recognizes that protecting the rights of the St. Lawrence River and its watershed requires prioritizing investment in public infrastructure to clean up wastewater and adequately treat drinking </w:t>
            </w:r>
            <w:proofErr w:type="gramStart"/>
            <w:r>
              <w:rPr>
                <w:rFonts w:ascii="Montserrat" w:eastAsia="Montserrat" w:hAnsi="Montserrat" w:cs="Montserrat"/>
                <w:sz w:val="18"/>
                <w:szCs w:val="18"/>
              </w:rPr>
              <w:t>water;</w:t>
            </w:r>
            <w:proofErr w:type="gramEnd"/>
          </w:p>
          <w:p w14:paraId="0708B789" w14:textId="77777777" w:rsidR="0078217B" w:rsidRDefault="00000000">
            <w:pPr>
              <w:spacing w:after="240"/>
              <w:jc w:val="both"/>
              <w:rPr>
                <w:rFonts w:ascii="Montserrat" w:eastAsia="Montserrat" w:hAnsi="Montserrat" w:cs="Montserrat"/>
                <w:sz w:val="18"/>
                <w:szCs w:val="18"/>
              </w:rPr>
            </w:pPr>
            <w:r>
              <w:rPr>
                <w:rFonts w:ascii="Montserrat" w:eastAsia="Montserrat" w:hAnsi="Montserrat" w:cs="Montserrat"/>
                <w:sz w:val="18"/>
                <w:szCs w:val="18"/>
              </w:rPr>
              <w:t xml:space="preserve">the protection of the </w:t>
            </w:r>
            <w:proofErr w:type="gramStart"/>
            <w:r>
              <w:rPr>
                <w:rFonts w:ascii="Montserrat" w:eastAsia="Montserrat" w:hAnsi="Montserrat" w:cs="Montserrat"/>
                <w:sz w:val="18"/>
                <w:szCs w:val="18"/>
              </w:rPr>
              <w:t>River</w:t>
            </w:r>
            <w:proofErr w:type="gramEnd"/>
            <w:r>
              <w:rPr>
                <w:rFonts w:ascii="Montserrat" w:eastAsia="Montserrat" w:hAnsi="Montserrat" w:cs="Montserrat"/>
                <w:sz w:val="18"/>
                <w:szCs w:val="18"/>
              </w:rPr>
              <w:t xml:space="preserve"> and the tributaries must be ensured by Guardians, representing the realities of the different riparian communities, who will have the duty to act in the name of the rights and interests of the River and the tributaries, to ensure the protection of their rights fundamentals;</w:t>
            </w:r>
          </w:p>
        </w:tc>
      </w:tr>
      <w:tr w:rsidR="0078217B" w14:paraId="1BA767E2" w14:textId="77777777">
        <w:tc>
          <w:tcPr>
            <w:tcW w:w="1696" w:type="dxa"/>
          </w:tcPr>
          <w:p w14:paraId="64EE48C3" w14:textId="77777777" w:rsidR="0078217B" w:rsidRDefault="00000000">
            <w:pPr>
              <w:rPr>
                <w:rFonts w:ascii="Montserrat" w:eastAsia="Montserrat" w:hAnsi="Montserrat" w:cs="Montserrat"/>
                <w:b/>
                <w:sz w:val="18"/>
                <w:szCs w:val="18"/>
              </w:rPr>
            </w:pPr>
            <w:r>
              <w:rPr>
                <w:rFonts w:ascii="Montserrat" w:eastAsia="Montserrat" w:hAnsi="Montserrat" w:cs="Montserrat"/>
                <w:b/>
                <w:sz w:val="18"/>
                <w:szCs w:val="18"/>
              </w:rPr>
              <w:t>THAT</w:t>
            </w:r>
          </w:p>
        </w:tc>
        <w:tc>
          <w:tcPr>
            <w:tcW w:w="7700" w:type="dxa"/>
            <w:gridSpan w:val="2"/>
          </w:tcPr>
          <w:p w14:paraId="246A435F" w14:textId="77777777" w:rsidR="0078217B" w:rsidRDefault="00000000">
            <w:pPr>
              <w:spacing w:after="240"/>
              <w:jc w:val="both"/>
              <w:rPr>
                <w:rFonts w:ascii="Montserrat" w:eastAsia="Montserrat" w:hAnsi="Montserrat" w:cs="Montserrat"/>
                <w:sz w:val="18"/>
                <w:szCs w:val="18"/>
              </w:rPr>
            </w:pPr>
            <w:r>
              <w:rPr>
                <w:rFonts w:ascii="Montserrat" w:eastAsia="Montserrat" w:hAnsi="Montserrat" w:cs="Montserrat"/>
                <w:sz w:val="18"/>
                <w:szCs w:val="18"/>
              </w:rPr>
              <w:t>the _______________________________________________________ underlines the importance that municipalities be supported and adequately financed to guarantee both respect for the rights of the St. Lawrence River and its tributaries, as well as respect for the right to a healthy environment, as well as the human right to water and sanitation.</w:t>
            </w:r>
          </w:p>
        </w:tc>
      </w:tr>
    </w:tbl>
    <w:p w14:paraId="004910D0" w14:textId="77777777" w:rsidR="0078217B" w:rsidRDefault="0078217B">
      <w:pPr>
        <w:rPr>
          <w:rFonts w:ascii="Montserrat" w:eastAsia="Montserrat" w:hAnsi="Montserrat" w:cs="Montserrat"/>
          <w:sz w:val="18"/>
          <w:szCs w:val="18"/>
        </w:rPr>
      </w:pPr>
    </w:p>
    <w:p w14:paraId="0E16A886" w14:textId="77777777" w:rsidR="0078217B" w:rsidRDefault="0078217B">
      <w:pPr>
        <w:spacing w:line="360" w:lineRule="auto"/>
        <w:rPr>
          <w:rFonts w:ascii="Montserrat" w:eastAsia="Montserrat" w:hAnsi="Montserrat" w:cs="Montserrat"/>
          <w:sz w:val="18"/>
          <w:szCs w:val="18"/>
        </w:rPr>
      </w:pPr>
    </w:p>
    <w:p w14:paraId="164BCF8F" w14:textId="77777777" w:rsidR="0078217B" w:rsidRDefault="00000000">
      <w:pPr>
        <w:spacing w:line="360" w:lineRule="auto"/>
        <w:ind w:left="1440"/>
        <w:rPr>
          <w:rFonts w:ascii="Montserrat" w:eastAsia="Montserrat" w:hAnsi="Montserrat" w:cs="Montserrat"/>
          <w:sz w:val="18"/>
          <w:szCs w:val="18"/>
        </w:rPr>
      </w:pPr>
      <w:r>
        <w:rPr>
          <w:rFonts w:ascii="Montserrat" w:eastAsia="Montserrat" w:hAnsi="Montserrat" w:cs="Montserrat"/>
          <w:sz w:val="18"/>
          <w:szCs w:val="18"/>
        </w:rPr>
        <w:t>Date</w:t>
      </w:r>
    </w:p>
    <w:p w14:paraId="75666F9A" w14:textId="77777777" w:rsidR="0078217B" w:rsidRDefault="00000000">
      <w:pPr>
        <w:spacing w:line="360" w:lineRule="auto"/>
        <w:ind w:left="1440"/>
        <w:rPr>
          <w:rFonts w:ascii="Montserrat" w:eastAsia="Montserrat" w:hAnsi="Montserrat" w:cs="Montserrat"/>
          <w:sz w:val="18"/>
          <w:szCs w:val="18"/>
        </w:rPr>
      </w:pPr>
      <w:r>
        <w:rPr>
          <w:rFonts w:ascii="Montserrat" w:eastAsia="Montserrat" w:hAnsi="Montserrat" w:cs="Montserrat"/>
          <w:sz w:val="18"/>
          <w:szCs w:val="18"/>
        </w:rPr>
        <w:t>Place</w:t>
      </w:r>
    </w:p>
    <w:p w14:paraId="75D4645B" w14:textId="77777777" w:rsidR="0078217B" w:rsidRDefault="00000000">
      <w:pPr>
        <w:spacing w:line="360" w:lineRule="auto"/>
        <w:ind w:left="1440"/>
        <w:rPr>
          <w:rFonts w:ascii="Montserrat" w:eastAsia="Montserrat" w:hAnsi="Montserrat" w:cs="Montserrat"/>
          <w:sz w:val="18"/>
          <w:szCs w:val="18"/>
        </w:rPr>
      </w:pPr>
      <w:r>
        <w:rPr>
          <w:rFonts w:ascii="Montserrat" w:eastAsia="Montserrat" w:hAnsi="Montserrat" w:cs="Montserrat"/>
          <w:sz w:val="18"/>
          <w:szCs w:val="18"/>
        </w:rPr>
        <w:t>Signature</w:t>
      </w:r>
    </w:p>
    <w:p w14:paraId="701ADB63" w14:textId="77777777" w:rsidR="0078217B" w:rsidRDefault="00000000">
      <w:pPr>
        <w:spacing w:line="360" w:lineRule="auto"/>
        <w:ind w:left="1440"/>
        <w:rPr>
          <w:rFonts w:ascii="Montserrat" w:eastAsia="Montserrat" w:hAnsi="Montserrat" w:cs="Montserrat"/>
          <w:sz w:val="18"/>
          <w:szCs w:val="18"/>
        </w:rPr>
      </w:pPr>
      <w:proofErr w:type="spellStart"/>
      <w:r>
        <w:rPr>
          <w:rFonts w:ascii="Montserrat" w:eastAsia="Montserrat" w:hAnsi="Montserrat" w:cs="Montserrat"/>
          <w:sz w:val="18"/>
          <w:szCs w:val="18"/>
        </w:rPr>
        <w:t>Firstname</w:t>
      </w:r>
      <w:proofErr w:type="spellEnd"/>
      <w:r>
        <w:rPr>
          <w:rFonts w:ascii="Montserrat" w:eastAsia="Montserrat" w:hAnsi="Montserrat" w:cs="Montserrat"/>
          <w:sz w:val="18"/>
          <w:szCs w:val="18"/>
        </w:rPr>
        <w:t xml:space="preserve"> name</w:t>
      </w:r>
    </w:p>
    <w:p w14:paraId="515F4732" w14:textId="77777777" w:rsidR="0078217B" w:rsidRDefault="00000000">
      <w:pPr>
        <w:spacing w:line="360" w:lineRule="auto"/>
        <w:ind w:left="1440"/>
        <w:rPr>
          <w:rFonts w:ascii="Montserrat" w:eastAsia="Montserrat" w:hAnsi="Montserrat" w:cs="Montserrat"/>
          <w:sz w:val="18"/>
          <w:szCs w:val="18"/>
        </w:rPr>
      </w:pPr>
      <w:r>
        <w:rPr>
          <w:rFonts w:ascii="Montserrat" w:eastAsia="Montserrat" w:hAnsi="Montserrat" w:cs="Montserrat"/>
          <w:sz w:val="18"/>
          <w:szCs w:val="18"/>
        </w:rPr>
        <w:t>Title</w:t>
      </w:r>
    </w:p>
    <w:p w14:paraId="4F3B2819" w14:textId="77777777" w:rsidR="0078217B" w:rsidRDefault="0078217B">
      <w:pPr>
        <w:rPr>
          <w:rFonts w:ascii="Montserrat" w:eastAsia="Montserrat" w:hAnsi="Montserrat" w:cs="Montserrat"/>
          <w:sz w:val="18"/>
          <w:szCs w:val="18"/>
        </w:rPr>
      </w:pPr>
    </w:p>
    <w:p w14:paraId="2B7E263E" w14:textId="77777777" w:rsidR="0078217B" w:rsidRDefault="0078217B">
      <w:pPr>
        <w:rPr>
          <w:rFonts w:ascii="Montserrat" w:eastAsia="Montserrat" w:hAnsi="Montserrat" w:cs="Montserrat"/>
          <w:sz w:val="18"/>
          <w:szCs w:val="18"/>
        </w:rPr>
      </w:pPr>
    </w:p>
    <w:p w14:paraId="218DE63A" w14:textId="77777777" w:rsidR="0078217B" w:rsidRDefault="00000000">
      <w:pPr>
        <w:jc w:val="center"/>
        <w:rPr>
          <w:rFonts w:ascii="Montserrat" w:eastAsia="Montserrat" w:hAnsi="Montserrat" w:cs="Montserrat"/>
          <w:sz w:val="18"/>
          <w:szCs w:val="18"/>
        </w:rPr>
      </w:pPr>
      <w:r>
        <w:rPr>
          <w:rFonts w:ascii="Montserrat" w:eastAsia="Montserrat" w:hAnsi="Montserrat" w:cs="Montserrat"/>
          <w:noProof/>
          <w:sz w:val="18"/>
          <w:szCs w:val="18"/>
        </w:rPr>
        <w:drawing>
          <wp:inline distT="114300" distB="114300" distL="114300" distR="114300" wp14:anchorId="5BC60068" wp14:editId="560A7E9B">
            <wp:extent cx="1750028" cy="2426796"/>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1750028" cy="2426796"/>
                    </a:xfrm>
                    <a:prstGeom prst="rect">
                      <a:avLst/>
                    </a:prstGeom>
                    <a:ln/>
                  </pic:spPr>
                </pic:pic>
              </a:graphicData>
            </a:graphic>
          </wp:inline>
        </w:drawing>
      </w:r>
    </w:p>
    <w:sectPr w:rsidR="0078217B">
      <w:headerReference w:type="default" r:id="rId7"/>
      <w:headerReference w:type="first" r:id="rId8"/>
      <w:footerReference w:type="first" r:id="rId9"/>
      <w:pgSz w:w="12240" w:h="2016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FAB4B" w14:textId="77777777" w:rsidR="00D518A0" w:rsidRDefault="00D518A0">
      <w:pPr>
        <w:spacing w:after="0" w:line="240" w:lineRule="auto"/>
      </w:pPr>
      <w:r>
        <w:separator/>
      </w:r>
    </w:p>
  </w:endnote>
  <w:endnote w:type="continuationSeparator" w:id="0">
    <w:p w14:paraId="1AC18F02" w14:textId="77777777" w:rsidR="00D518A0" w:rsidRDefault="00D51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20B0604020202020204"/>
    <w:charset w:val="4D"/>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503E" w14:textId="77777777" w:rsidR="0078217B" w:rsidRDefault="007821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808A" w14:textId="77777777" w:rsidR="00D518A0" w:rsidRDefault="00D518A0">
      <w:pPr>
        <w:spacing w:after="0" w:line="240" w:lineRule="auto"/>
      </w:pPr>
      <w:r>
        <w:separator/>
      </w:r>
    </w:p>
  </w:footnote>
  <w:footnote w:type="continuationSeparator" w:id="0">
    <w:p w14:paraId="372E4ACE" w14:textId="77777777" w:rsidR="00D518A0" w:rsidRDefault="00D518A0">
      <w:pPr>
        <w:spacing w:after="0" w:line="240" w:lineRule="auto"/>
      </w:pPr>
      <w:r>
        <w:continuationSeparator/>
      </w:r>
    </w:p>
  </w:footnote>
  <w:footnote w:id="1">
    <w:p w14:paraId="553C1EDC" w14:textId="77777777" w:rsidR="0078217B" w:rsidRDefault="00000000">
      <w:pPr>
        <w:pBdr>
          <w:top w:val="nil"/>
          <w:left w:val="nil"/>
          <w:bottom w:val="nil"/>
          <w:right w:val="nil"/>
          <w:between w:val="nil"/>
        </w:pBdr>
        <w:spacing w:after="0"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Ministry of the Environment and the Fight against Climate Change. 2021. The St. Lawrence. </w:t>
      </w:r>
      <w:hyperlink r:id="rId1">
        <w:r>
          <w:rPr>
            <w:rFonts w:ascii="Times New Roman" w:eastAsia="Times New Roman" w:hAnsi="Times New Roman" w:cs="Times New Roman"/>
            <w:color w:val="0563C1"/>
            <w:sz w:val="18"/>
            <w:szCs w:val="18"/>
            <w:u w:val="single"/>
          </w:rPr>
          <w:t>https://www.environnement.gouv.qc.ca/eau/flrivlac/fleuve.htm</w:t>
        </w:r>
      </w:hyperlink>
    </w:p>
    <w:p w14:paraId="7E78CACA" w14:textId="77777777" w:rsidR="0078217B" w:rsidRDefault="0078217B">
      <w:pPr>
        <w:pBdr>
          <w:top w:val="nil"/>
          <w:left w:val="nil"/>
          <w:bottom w:val="nil"/>
          <w:right w:val="nil"/>
          <w:between w:val="nil"/>
        </w:pBdr>
        <w:spacing w:after="0" w:line="240" w:lineRule="auto"/>
        <w:rPr>
          <w:rFonts w:ascii="Times New Roman" w:eastAsia="Times New Roman" w:hAnsi="Times New Roman" w:cs="Times New Roman"/>
          <w:sz w:val="18"/>
          <w:szCs w:val="18"/>
        </w:rPr>
      </w:pPr>
    </w:p>
  </w:footnote>
  <w:footnote w:id="2">
    <w:p w14:paraId="7B08A4A9" w14:textId="77777777" w:rsidR="0078217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Civil Code of Quebec, article 898.1; See also this recent judgment of the Superior Court of Quebec (our emphasis): Walsh v. </w:t>
      </w:r>
      <w:proofErr w:type="spellStart"/>
      <w:r>
        <w:rPr>
          <w:rFonts w:ascii="Times New Roman" w:eastAsia="Times New Roman" w:hAnsi="Times New Roman" w:cs="Times New Roman"/>
          <w:color w:val="000000"/>
          <w:sz w:val="18"/>
          <w:szCs w:val="18"/>
        </w:rPr>
        <w:t>Dandurand</w:t>
      </w:r>
      <w:proofErr w:type="spellEnd"/>
      <w:r>
        <w:rPr>
          <w:rFonts w:ascii="Times New Roman" w:eastAsia="Times New Roman" w:hAnsi="Times New Roman" w:cs="Times New Roman"/>
          <w:color w:val="000000"/>
          <w:sz w:val="18"/>
          <w:szCs w:val="18"/>
        </w:rPr>
        <w:t>, 2019 QCCS 1403 (</w:t>
      </w:r>
      <w:proofErr w:type="spellStart"/>
      <w:r>
        <w:rPr>
          <w:rFonts w:ascii="Times New Roman" w:eastAsia="Times New Roman" w:hAnsi="Times New Roman" w:cs="Times New Roman"/>
          <w:color w:val="000000"/>
          <w:sz w:val="18"/>
          <w:szCs w:val="18"/>
        </w:rPr>
        <w:t>CanLII</w:t>
      </w:r>
      <w:proofErr w:type="spellEnd"/>
      <w:r>
        <w:rPr>
          <w:rFonts w:ascii="Times New Roman" w:eastAsia="Times New Roman" w:hAnsi="Times New Roman" w:cs="Times New Roman"/>
          <w:color w:val="000000"/>
          <w:sz w:val="18"/>
          <w:szCs w:val="18"/>
        </w:rPr>
        <w:t xml:space="preserve">), </w:t>
      </w:r>
      <w:hyperlink r:id="rId2">
        <w:r>
          <w:rPr>
            <w:rFonts w:ascii="Times New Roman" w:eastAsia="Times New Roman" w:hAnsi="Times New Roman" w:cs="Times New Roman"/>
            <w:color w:val="0563C1"/>
            <w:sz w:val="18"/>
            <w:szCs w:val="18"/>
            <w:u w:val="single"/>
          </w:rPr>
          <w:t xml:space="preserve">http://canlii.ca/t/hztk2 </w:t>
        </w:r>
      </w:hyperlink>
      <w:r>
        <w:rPr>
          <w:rFonts w:ascii="Times New Roman" w:eastAsia="Times New Roman" w:hAnsi="Times New Roman" w:cs="Times New Roman"/>
          <w:color w:val="000000"/>
          <w:sz w:val="18"/>
          <w:szCs w:val="18"/>
        </w:rPr>
        <w:t>:</w:t>
      </w:r>
    </w:p>
    <w:p w14:paraId="15A1DC36" w14:textId="77777777" w:rsidR="0078217B" w:rsidRDefault="0078217B">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footnote>
  <w:footnote w:id="3">
    <w:p w14:paraId="7D89BDFC" w14:textId="77777777" w:rsidR="0078217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See the Constitution of Ecuador (2008), art. 10, 71, 72, 73 and 74; </w:t>
      </w:r>
      <w:r>
        <w:rPr>
          <w:rFonts w:ascii="Times New Roman" w:eastAsia="Times New Roman" w:hAnsi="Times New Roman" w:cs="Times New Roman"/>
          <w:i/>
          <w:color w:val="000000"/>
          <w:sz w:val="18"/>
          <w:szCs w:val="18"/>
        </w:rPr>
        <w:t xml:space="preserve">Bolivian Framework Law (071) on the Rights of Mother Earth </w:t>
      </w:r>
      <w:r>
        <w:rPr>
          <w:rFonts w:ascii="Times New Roman" w:eastAsia="Times New Roman" w:hAnsi="Times New Roman" w:cs="Times New Roman"/>
          <w:color w:val="000000"/>
          <w:sz w:val="18"/>
          <w:szCs w:val="18"/>
        </w:rPr>
        <w:t xml:space="preserve">(2010); </w:t>
      </w:r>
      <w:r>
        <w:rPr>
          <w:rFonts w:ascii="Times New Roman" w:eastAsia="Times New Roman" w:hAnsi="Times New Roman" w:cs="Times New Roman"/>
          <w:i/>
          <w:color w:val="000000"/>
          <w:sz w:val="18"/>
          <w:szCs w:val="18"/>
        </w:rPr>
        <w:t xml:space="preserve">Bolivian framework law (300) of Mother Earth and development for a good life </w:t>
      </w:r>
      <w:r>
        <w:rPr>
          <w:rFonts w:ascii="Times New Roman" w:eastAsia="Times New Roman" w:hAnsi="Times New Roman" w:cs="Times New Roman"/>
          <w:color w:val="000000"/>
          <w:sz w:val="18"/>
          <w:szCs w:val="18"/>
        </w:rPr>
        <w:t xml:space="preserve">(2012); </w:t>
      </w:r>
      <w:proofErr w:type="spellStart"/>
      <w:r>
        <w:rPr>
          <w:rFonts w:ascii="Times New Roman" w:eastAsia="Times New Roman" w:hAnsi="Times New Roman" w:cs="Times New Roman"/>
          <w:i/>
          <w:color w:val="000000"/>
          <w:sz w:val="18"/>
          <w:szCs w:val="18"/>
        </w:rPr>
        <w:t>Te</w:t>
      </w:r>
      <w:proofErr w:type="spellEnd"/>
      <w:r>
        <w:rPr>
          <w:rFonts w:ascii="Times New Roman" w:eastAsia="Times New Roman" w:hAnsi="Times New Roman" w:cs="Times New Roman"/>
          <w:i/>
          <w:color w:val="000000"/>
          <w:sz w:val="18"/>
          <w:szCs w:val="18"/>
        </w:rPr>
        <w:t xml:space="preserve"> Awa </w:t>
      </w:r>
      <w:proofErr w:type="spellStart"/>
      <w:r>
        <w:rPr>
          <w:rFonts w:ascii="Times New Roman" w:eastAsia="Times New Roman" w:hAnsi="Times New Roman" w:cs="Times New Roman"/>
          <w:i/>
          <w:color w:val="000000"/>
          <w:sz w:val="18"/>
          <w:szCs w:val="18"/>
        </w:rPr>
        <w:t>Tupua</w:t>
      </w:r>
      <w:proofErr w:type="spellEnd"/>
      <w:r>
        <w:rPr>
          <w:rFonts w:ascii="Times New Roman" w:eastAsia="Times New Roman" w:hAnsi="Times New Roman" w:cs="Times New Roman"/>
          <w:i/>
          <w:color w:val="000000"/>
          <w:sz w:val="18"/>
          <w:szCs w:val="18"/>
        </w:rPr>
        <w:t xml:space="preserve"> (Whanganui River Claims Settlement) Act </w:t>
      </w:r>
      <w:r>
        <w:rPr>
          <w:rFonts w:ascii="Times New Roman" w:eastAsia="Times New Roman" w:hAnsi="Times New Roman" w:cs="Times New Roman"/>
          <w:color w:val="000000"/>
          <w:sz w:val="18"/>
          <w:szCs w:val="18"/>
        </w:rPr>
        <w:t xml:space="preserve">(2017), New Zealand; </w:t>
      </w:r>
      <w:proofErr w:type="spellStart"/>
      <w:r>
        <w:rPr>
          <w:rFonts w:ascii="Times New Roman" w:eastAsia="Times New Roman" w:hAnsi="Times New Roman" w:cs="Times New Roman"/>
          <w:i/>
          <w:color w:val="000000"/>
          <w:sz w:val="18"/>
          <w:szCs w:val="18"/>
        </w:rPr>
        <w:t>Yarra</w:t>
      </w:r>
      <w:proofErr w:type="spellEnd"/>
      <w:r>
        <w:rPr>
          <w:rFonts w:ascii="Times New Roman" w:eastAsia="Times New Roman" w:hAnsi="Times New Roman" w:cs="Times New Roman"/>
          <w:i/>
          <w:color w:val="000000"/>
          <w:sz w:val="18"/>
          <w:szCs w:val="18"/>
        </w:rPr>
        <w:t xml:space="preserve"> River Protection Act </w:t>
      </w:r>
      <w:r>
        <w:rPr>
          <w:rFonts w:ascii="Times New Roman" w:eastAsia="Times New Roman" w:hAnsi="Times New Roman" w:cs="Times New Roman"/>
          <w:color w:val="000000"/>
          <w:sz w:val="18"/>
          <w:szCs w:val="18"/>
        </w:rPr>
        <w:t xml:space="preserve">(2017), Victoria, Australia; Constitution of the City of Mexico, art. 18 (2018); Constitution of the State of Colima, Mexico (2019); Ordinance 2013-01 of Mora County, New Mexico (2013); </w:t>
      </w:r>
      <w:r>
        <w:rPr>
          <w:rFonts w:ascii="Times New Roman" w:eastAsia="Times New Roman" w:hAnsi="Times New Roman" w:cs="Times New Roman"/>
          <w:i/>
          <w:color w:val="000000"/>
          <w:sz w:val="18"/>
          <w:szCs w:val="18"/>
        </w:rPr>
        <w:t xml:space="preserve">Ordinance of the City Council of the City of Santa Monica Establishing Sustainability Rights </w:t>
      </w:r>
      <w:r>
        <w:rPr>
          <w:rFonts w:ascii="Times New Roman" w:eastAsia="Times New Roman" w:hAnsi="Times New Roman" w:cs="Times New Roman"/>
          <w:color w:val="000000"/>
          <w:sz w:val="18"/>
          <w:szCs w:val="18"/>
        </w:rPr>
        <w:t xml:space="preserve">, Santa Monica, California (2013); Resolution 006-2018, Crestone, Colorado (2018); </w:t>
      </w:r>
      <w:r>
        <w:rPr>
          <w:rFonts w:ascii="Times New Roman" w:eastAsia="Times New Roman" w:hAnsi="Times New Roman" w:cs="Times New Roman"/>
          <w:i/>
          <w:color w:val="000000"/>
          <w:sz w:val="18"/>
          <w:szCs w:val="18"/>
        </w:rPr>
        <w:t xml:space="preserve">Resolution 397-14 on the rights of whales and dolphins </w:t>
      </w:r>
      <w:r>
        <w:rPr>
          <w:rFonts w:ascii="Times New Roman" w:eastAsia="Times New Roman" w:hAnsi="Times New Roman" w:cs="Times New Roman"/>
          <w:color w:val="000000"/>
          <w:sz w:val="18"/>
          <w:szCs w:val="18"/>
        </w:rPr>
        <w:t xml:space="preserve">, San Francisco, California (2014); Republic of Uganda, </w:t>
      </w:r>
      <w:r>
        <w:rPr>
          <w:rFonts w:ascii="Times New Roman" w:eastAsia="Times New Roman" w:hAnsi="Times New Roman" w:cs="Times New Roman"/>
          <w:i/>
          <w:color w:val="000000"/>
          <w:sz w:val="18"/>
          <w:szCs w:val="18"/>
        </w:rPr>
        <w:t xml:space="preserve">National Environment Act, 2019 </w:t>
      </w:r>
      <w:r>
        <w:rPr>
          <w:rFonts w:ascii="Times New Roman" w:eastAsia="Times New Roman" w:hAnsi="Times New Roman" w:cs="Times New Roman"/>
          <w:color w:val="000000"/>
          <w:sz w:val="18"/>
          <w:szCs w:val="18"/>
        </w:rPr>
        <w:t>, s.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0CC0" w14:textId="77777777" w:rsidR="0078217B" w:rsidRDefault="00000000">
    <w:pPr>
      <w:pBdr>
        <w:top w:val="nil"/>
        <w:left w:val="nil"/>
        <w:bottom w:val="nil"/>
        <w:right w:val="nil"/>
        <w:between w:val="nil"/>
      </w:pBdr>
      <w:tabs>
        <w:tab w:val="center" w:pos="4703"/>
        <w:tab w:val="right" w:pos="9406"/>
      </w:tabs>
      <w:spacing w:after="0" w:line="240" w:lineRule="auto"/>
      <w:rPr>
        <w:color w:val="000000"/>
      </w:rPr>
    </w:pPr>
    <w:r>
      <w:rPr>
        <w:noProof/>
      </w:rPr>
      <w:drawing>
        <wp:anchor distT="0" distB="0" distL="114300" distR="114300" simplePos="0" relativeHeight="251658240" behindDoc="0" locked="0" layoutInCell="1" hidden="0" allowOverlap="1" wp14:anchorId="231528F7" wp14:editId="7DD14ABE">
          <wp:simplePos x="0" y="0"/>
          <wp:positionH relativeFrom="column">
            <wp:posOffset>4867275</wp:posOffset>
          </wp:positionH>
          <wp:positionV relativeFrom="paragraph">
            <wp:posOffset>-104774</wp:posOffset>
          </wp:positionV>
          <wp:extent cx="1366949" cy="687251"/>
          <wp:effectExtent l="0" t="0" r="0" b="0"/>
          <wp:wrapSquare wrapText="bothSides" distT="0" distB="0" distL="114300" distR="114300"/>
          <wp:docPr id="1" name="image2.png" descr="OIDN/Logo/80688620_486753538642639_2877054877689708544_n.jpg"/>
          <wp:cNvGraphicFramePr/>
          <a:graphic xmlns:a="http://schemas.openxmlformats.org/drawingml/2006/main">
            <a:graphicData uri="http://schemas.openxmlformats.org/drawingml/2006/picture">
              <pic:pic xmlns:pic="http://schemas.openxmlformats.org/drawingml/2006/picture">
                <pic:nvPicPr>
                  <pic:cNvPr id="0" name="image2.png" descr="OIDN/Logo/80688620_486753538642639_2877054877689708544_n.jpg"/>
                  <pic:cNvPicPr preferRelativeResize="0"/>
                </pic:nvPicPr>
                <pic:blipFill>
                  <a:blip r:embed="rId1"/>
                  <a:srcRect l="1117" r="1117"/>
                  <a:stretch>
                    <a:fillRect/>
                  </a:stretch>
                </pic:blipFill>
                <pic:spPr>
                  <a:xfrm>
                    <a:off x="0" y="0"/>
                    <a:ext cx="1366949" cy="687251"/>
                  </a:xfrm>
                  <a:prstGeom prst="rect">
                    <a:avLst/>
                  </a:prstGeom>
                  <a:ln/>
                </pic:spPr>
              </pic:pic>
            </a:graphicData>
          </a:graphic>
        </wp:anchor>
      </w:drawing>
    </w:r>
  </w:p>
  <w:p w14:paraId="70150D92" w14:textId="77777777" w:rsidR="0078217B" w:rsidRDefault="0078217B">
    <w:pPr>
      <w:pBdr>
        <w:top w:val="nil"/>
        <w:left w:val="nil"/>
        <w:bottom w:val="nil"/>
        <w:right w:val="nil"/>
        <w:between w:val="nil"/>
      </w:pBdr>
      <w:tabs>
        <w:tab w:val="center" w:pos="4703"/>
        <w:tab w:val="right" w:pos="9406"/>
      </w:tabs>
      <w:spacing w:after="0" w:line="240" w:lineRule="auto"/>
      <w:rPr>
        <w:color w:val="000000"/>
      </w:rPr>
    </w:pPr>
  </w:p>
  <w:p w14:paraId="72B6827D" w14:textId="77777777" w:rsidR="0078217B" w:rsidRDefault="00000000">
    <w:pPr>
      <w:pBdr>
        <w:top w:val="nil"/>
        <w:left w:val="nil"/>
        <w:bottom w:val="nil"/>
        <w:right w:val="nil"/>
        <w:between w:val="nil"/>
      </w:pBdr>
      <w:tabs>
        <w:tab w:val="center" w:pos="4703"/>
        <w:tab w:val="right" w:pos="9406"/>
      </w:tabs>
      <w:spacing w:after="0" w:line="240" w:lineRule="auto"/>
      <w:rPr>
        <w:color w:val="000000"/>
      </w:rPr>
    </w:pPr>
    <w:r>
      <w:rPr>
        <w:color w:val="000000"/>
      </w:rPr>
      <w:t>Resolution No. _______________________________</w:t>
    </w:r>
  </w:p>
  <w:p w14:paraId="5EB8D757" w14:textId="77777777" w:rsidR="0078217B" w:rsidRDefault="0078217B">
    <w:pPr>
      <w:pBdr>
        <w:top w:val="nil"/>
        <w:left w:val="nil"/>
        <w:bottom w:val="nil"/>
        <w:right w:val="nil"/>
        <w:between w:val="nil"/>
      </w:pBdr>
      <w:tabs>
        <w:tab w:val="center" w:pos="4703"/>
        <w:tab w:val="right" w:pos="9406"/>
      </w:tabs>
      <w:spacing w:after="0" w:line="240" w:lineRule="auto"/>
    </w:pPr>
  </w:p>
  <w:p w14:paraId="742A0E07" w14:textId="77777777" w:rsidR="0078217B" w:rsidRDefault="0078217B">
    <w:pPr>
      <w:pBdr>
        <w:top w:val="nil"/>
        <w:left w:val="nil"/>
        <w:bottom w:val="nil"/>
        <w:right w:val="nil"/>
        <w:between w:val="nil"/>
      </w:pBdr>
      <w:tabs>
        <w:tab w:val="center" w:pos="4703"/>
        <w:tab w:val="right" w:pos="940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87CA" w14:textId="77777777" w:rsidR="0078217B" w:rsidRDefault="00000000">
    <w:r>
      <w:rPr>
        <w:noProof/>
      </w:rPr>
      <w:drawing>
        <wp:anchor distT="0" distB="0" distL="114300" distR="114300" simplePos="0" relativeHeight="251659264" behindDoc="0" locked="0" layoutInCell="1" hidden="0" allowOverlap="1" wp14:anchorId="612D5202" wp14:editId="22B001A7">
          <wp:simplePos x="0" y="0"/>
          <wp:positionH relativeFrom="column">
            <wp:posOffset>4867275</wp:posOffset>
          </wp:positionH>
          <wp:positionV relativeFrom="paragraph">
            <wp:posOffset>-104774</wp:posOffset>
          </wp:positionV>
          <wp:extent cx="1366949" cy="687251"/>
          <wp:effectExtent l="0" t="0" r="0" b="0"/>
          <wp:wrapSquare wrapText="bothSides" distT="0" distB="0" distL="114300" distR="114300"/>
          <wp:docPr id="3" name="image1.jpg" descr="OIDN/Logo/80688620_486753538642639_2877054877689708544_n.jpg"/>
          <wp:cNvGraphicFramePr/>
          <a:graphic xmlns:a="http://schemas.openxmlformats.org/drawingml/2006/main">
            <a:graphicData uri="http://schemas.openxmlformats.org/drawingml/2006/picture">
              <pic:pic xmlns:pic="http://schemas.openxmlformats.org/drawingml/2006/picture">
                <pic:nvPicPr>
                  <pic:cNvPr id="0" name="image1.jpg" descr="OIDN/Logo/80688620_486753538642639_2877054877689708544_n.jpg"/>
                  <pic:cNvPicPr preferRelativeResize="0"/>
                </pic:nvPicPr>
                <pic:blipFill>
                  <a:blip r:embed="rId1"/>
                  <a:srcRect l="16330" t="31920" r="16475" b="34297"/>
                  <a:stretch>
                    <a:fillRect/>
                  </a:stretch>
                </pic:blipFill>
                <pic:spPr>
                  <a:xfrm>
                    <a:off x="0" y="0"/>
                    <a:ext cx="1366949" cy="687251"/>
                  </a:xfrm>
                  <a:prstGeom prst="rect">
                    <a:avLst/>
                  </a:prstGeom>
                  <a:ln/>
                </pic:spPr>
              </pic:pic>
            </a:graphicData>
          </a:graphic>
        </wp:anchor>
      </w:drawing>
    </w:r>
  </w:p>
  <w:p w14:paraId="27C52DBF" w14:textId="77777777" w:rsidR="0078217B" w:rsidRDefault="0078217B"/>
  <w:p w14:paraId="5278B84D" w14:textId="77777777" w:rsidR="0078217B" w:rsidRDefault="0078217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17B"/>
    <w:rsid w:val="0058478E"/>
    <w:rsid w:val="0078217B"/>
    <w:rsid w:val="009E61D4"/>
    <w:rsid w:val="00C64DF8"/>
    <w:rsid w:val="00CD5DC5"/>
    <w:rsid w:val="00D518A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32178"/>
  <w15:docId w15:val="{5DC88775-F0C8-4CB7-A09A-CF2C5DEE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canlii.ca/t/hztk2" TargetMode="External"/><Relationship Id="rId1" Type="http://schemas.openxmlformats.org/officeDocument/2006/relationships/hyperlink" Target="https://www.environnement.gouv.qc.ca/eau/flrivlac/fleuv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Yenny Vega</dc:creator>
  <cp:lastModifiedBy>Kelsey Watt</cp:lastModifiedBy>
  <cp:revision>2</cp:revision>
  <dcterms:created xsi:type="dcterms:W3CDTF">2023-10-23T19:02:00Z</dcterms:created>
  <dcterms:modified xsi:type="dcterms:W3CDTF">2023-10-23T19:02:00Z</dcterms:modified>
</cp:coreProperties>
</file>