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ACFE" w14:textId="3ED7265D" w:rsidR="00120BD0" w:rsidRDefault="00000000"/>
    <w:p w14:paraId="2F4D2ED3" w14:textId="60D5B7BE" w:rsidR="00C41751" w:rsidRDefault="00C41751" w:rsidP="00C41751">
      <w:pPr>
        <w:ind w:left="851" w:right="1042"/>
        <w:jc w:val="center"/>
        <w:rPr>
          <w:b/>
          <w:bCs/>
          <w:sz w:val="28"/>
          <w:szCs w:val="28"/>
          <w:lang w:val="fr-FR"/>
        </w:rPr>
      </w:pPr>
      <w:r w:rsidRPr="00C41751">
        <w:rPr>
          <w:b/>
          <w:bCs/>
          <w:sz w:val="28"/>
          <w:szCs w:val="28"/>
          <w:lang w:val="fr-FR"/>
        </w:rPr>
        <w:t>Résolution soutenant la reconnaissance de la personnalité juridique et des droits du Fleuve Saint-Laurent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848"/>
        <w:gridCol w:w="5852"/>
      </w:tblGrid>
      <w:tr w:rsidR="005F4F66" w14:paraId="5B61FAB6" w14:textId="77777777" w:rsidTr="003D2416">
        <w:tc>
          <w:tcPr>
            <w:tcW w:w="1696" w:type="dxa"/>
          </w:tcPr>
          <w:p w14:paraId="3BD564DA" w14:textId="4CE2E1D4" w:rsidR="005F4F66" w:rsidRPr="0030751F" w:rsidRDefault="005F4F66" w:rsidP="003D2416">
            <w:pPr>
              <w:rPr>
                <w:b/>
                <w:bCs/>
              </w:rPr>
            </w:pPr>
            <w:r w:rsidRPr="0030751F">
              <w:rPr>
                <w:b/>
                <w:bCs/>
              </w:rPr>
              <w:t>ATTENDU QUE</w:t>
            </w:r>
          </w:p>
        </w:tc>
        <w:tc>
          <w:tcPr>
            <w:tcW w:w="7700" w:type="dxa"/>
            <w:gridSpan w:val="2"/>
          </w:tcPr>
          <w:p w14:paraId="048AC987" w14:textId="0657D199" w:rsidR="005F4F66" w:rsidRPr="009F5701" w:rsidRDefault="00360BA9" w:rsidP="003D2416">
            <w:pPr>
              <w:spacing w:after="240"/>
              <w:jc w:val="both"/>
              <w:rPr>
                <w:lang w:val="fr-FR"/>
              </w:rPr>
            </w:pPr>
            <w:r>
              <w:t>Le</w:t>
            </w:r>
            <w:r w:rsidR="006149A6">
              <w:t xml:space="preserve"> </w:t>
            </w:r>
            <w:r w:rsidR="006149A6" w:rsidRPr="00AC559A">
              <w:t xml:space="preserve">Fleuve Saint-Laurent </w:t>
            </w:r>
            <w:r w:rsidR="009F5701" w:rsidRPr="00AC559A">
              <w:t xml:space="preserve">joue un rôle </w:t>
            </w:r>
            <w:r w:rsidR="009F5701" w:rsidRPr="00AC559A">
              <w:rPr>
                <w:lang w:val="fr-FR"/>
              </w:rPr>
              <w:t>essentiel à toutes formes de vie en soutenant une riche diversité d'espèces et d'écosystèmes,</w:t>
            </w:r>
            <w:r w:rsidR="009F5701" w:rsidRPr="00767425">
              <w:rPr>
                <w:lang w:val="fr-FR"/>
              </w:rPr>
              <w:t xml:space="preserve"> en alimentant les zones humides et autres habitats aquatiques en eau, en fournissant des nutriments vitaux aux estuaires côtiers et aux océans, en transportant des sédiments vers les deltas et en remplissant d'autres fonctions écologiques essentielles;</w:t>
            </w:r>
          </w:p>
        </w:tc>
      </w:tr>
      <w:tr w:rsidR="006149A6" w14:paraId="5493F8AA" w14:textId="77777777" w:rsidTr="003D2416">
        <w:tc>
          <w:tcPr>
            <w:tcW w:w="1696" w:type="dxa"/>
          </w:tcPr>
          <w:p w14:paraId="58DBFA92" w14:textId="713529EB" w:rsidR="006149A6" w:rsidRPr="0030751F" w:rsidRDefault="006149A6" w:rsidP="003D2416">
            <w:pPr>
              <w:rPr>
                <w:b/>
                <w:bCs/>
              </w:rPr>
            </w:pPr>
            <w:r w:rsidRPr="0030751F">
              <w:rPr>
                <w:b/>
                <w:bCs/>
              </w:rPr>
              <w:t>ATTENDU QUE</w:t>
            </w:r>
          </w:p>
        </w:tc>
        <w:tc>
          <w:tcPr>
            <w:tcW w:w="7700" w:type="dxa"/>
            <w:gridSpan w:val="2"/>
          </w:tcPr>
          <w:p w14:paraId="0A28A6CF" w14:textId="34EEBCD6" w:rsidR="006149A6" w:rsidRDefault="006149A6" w:rsidP="003D2416">
            <w:pPr>
              <w:spacing w:after="240"/>
              <w:jc w:val="both"/>
            </w:pPr>
            <w:proofErr w:type="gramStart"/>
            <w:r>
              <w:t>le</w:t>
            </w:r>
            <w:proofErr w:type="gramEnd"/>
            <w:r>
              <w:t xml:space="preserve"> Fleuve Saint-Laurent joue un rôle central dans l’</w:t>
            </w:r>
            <w:r w:rsidR="00813844">
              <w:t>identité, l’</w:t>
            </w:r>
            <w:r>
              <w:t>histoire</w:t>
            </w:r>
            <w:r w:rsidR="00431441">
              <w:t>,</w:t>
            </w:r>
            <w:r>
              <w:t xml:space="preserve"> la culture et l’économie </w:t>
            </w:r>
            <w:r w:rsidR="00431441">
              <w:t xml:space="preserve">des Nations qui composent le Québec; </w:t>
            </w:r>
            <w:r w:rsidR="00813844">
              <w:t xml:space="preserve">il contribue à la qualité de vie des communautés riveraines. </w:t>
            </w:r>
          </w:p>
        </w:tc>
      </w:tr>
      <w:tr w:rsidR="00A3568C" w14:paraId="5C7035CF" w14:textId="77777777" w:rsidTr="003D2416">
        <w:tc>
          <w:tcPr>
            <w:tcW w:w="1696" w:type="dxa"/>
          </w:tcPr>
          <w:p w14:paraId="5A6A4025" w14:textId="228AF572" w:rsidR="00A3568C" w:rsidRPr="0030751F" w:rsidRDefault="00A3568C" w:rsidP="003D2416">
            <w:pPr>
              <w:rPr>
                <w:b/>
                <w:bCs/>
              </w:rPr>
            </w:pPr>
            <w:r w:rsidRPr="0030751F">
              <w:rPr>
                <w:b/>
                <w:bCs/>
              </w:rPr>
              <w:t>ATTENDU QUE</w:t>
            </w:r>
          </w:p>
        </w:tc>
        <w:tc>
          <w:tcPr>
            <w:tcW w:w="7700" w:type="dxa"/>
            <w:gridSpan w:val="2"/>
          </w:tcPr>
          <w:p w14:paraId="392BB29E" w14:textId="46C70F2F" w:rsidR="00A3568C" w:rsidRDefault="009E0622" w:rsidP="003D2416">
            <w:pPr>
              <w:spacing w:after="240"/>
              <w:jc w:val="both"/>
            </w:pPr>
            <w:proofErr w:type="gramStart"/>
            <w:r>
              <w:t>le</w:t>
            </w:r>
            <w:proofErr w:type="gramEnd"/>
            <w:r w:rsidR="004C26D5">
              <w:t xml:space="preserve"> Fleuve Saint-Laurent </w:t>
            </w:r>
            <w:r>
              <w:t>revêt également une</w:t>
            </w:r>
            <w:r w:rsidR="00F80C62">
              <w:t xml:space="preserve"> valeur intrinsèque</w:t>
            </w:r>
            <w:r w:rsidR="00674934">
              <w:t>, indépendante des bénéfices qu’il</w:t>
            </w:r>
            <w:r w:rsidR="0063127B">
              <w:t xml:space="preserve"> </w:t>
            </w:r>
            <w:r w:rsidR="00674934">
              <w:t>fournit</w:t>
            </w:r>
            <w:r>
              <w:t xml:space="preserve"> aux populations humaines et non humaines</w:t>
            </w:r>
            <w:r w:rsidR="0063127B">
              <w:t>,</w:t>
            </w:r>
            <w:r w:rsidR="00F80C62">
              <w:t xml:space="preserve"> qui </w:t>
            </w:r>
            <w:r w:rsidR="00674934">
              <w:t xml:space="preserve">doit être protégé des menaces </w:t>
            </w:r>
            <w:r w:rsidR="00E9054C">
              <w:t>tel que les changements climatiques et les polluants émergeants</w:t>
            </w:r>
            <w:r w:rsidR="00674934">
              <w:t xml:space="preserve">; </w:t>
            </w:r>
          </w:p>
        </w:tc>
      </w:tr>
      <w:tr w:rsidR="006149A6" w14:paraId="1F6CE242" w14:textId="77777777" w:rsidTr="003D2416">
        <w:tc>
          <w:tcPr>
            <w:tcW w:w="1696" w:type="dxa"/>
          </w:tcPr>
          <w:p w14:paraId="48800AEF" w14:textId="5BF5AF2E" w:rsidR="006149A6" w:rsidRPr="0030751F" w:rsidRDefault="006149A6" w:rsidP="003D2416">
            <w:pPr>
              <w:rPr>
                <w:b/>
                <w:bCs/>
              </w:rPr>
            </w:pPr>
            <w:r w:rsidRPr="0030751F">
              <w:rPr>
                <w:b/>
                <w:bCs/>
              </w:rPr>
              <w:t>ATTENDU QUE</w:t>
            </w:r>
          </w:p>
        </w:tc>
        <w:tc>
          <w:tcPr>
            <w:tcW w:w="7700" w:type="dxa"/>
            <w:gridSpan w:val="2"/>
          </w:tcPr>
          <w:p w14:paraId="73304FA8" w14:textId="762D8509" w:rsidR="006149A6" w:rsidRDefault="00196EE3" w:rsidP="003D2416">
            <w:pPr>
              <w:spacing w:after="240"/>
              <w:jc w:val="both"/>
            </w:pPr>
            <w:proofErr w:type="gramStart"/>
            <w:r>
              <w:t>l</w:t>
            </w:r>
            <w:r w:rsidR="00A3568C">
              <w:t>e</w:t>
            </w:r>
            <w:proofErr w:type="gramEnd"/>
            <w:r w:rsidR="00A3568C">
              <w:t xml:space="preserve"> cadre juridique actuel</w:t>
            </w:r>
            <w:r w:rsidR="00994403">
              <w:t>, bien qu’en constante évolution</w:t>
            </w:r>
            <w:r w:rsidR="003D2416">
              <w:t>,</w:t>
            </w:r>
            <w:r w:rsidR="000B16C1">
              <w:t xml:space="preserve"> </w:t>
            </w:r>
            <w:r w:rsidR="00994403">
              <w:t xml:space="preserve">peine à assurer </w:t>
            </w:r>
            <w:r w:rsidR="00955DF3">
              <w:t>une protection suffisante du Fleuve Saint-Lauren</w:t>
            </w:r>
            <w:r w:rsidR="000B16C1">
              <w:t xml:space="preserve">t </w:t>
            </w:r>
            <w:r w:rsidR="00D16415">
              <w:t xml:space="preserve">qui </w:t>
            </w:r>
            <w:r w:rsidR="00A97A01">
              <w:t xml:space="preserve">subit une détérioration accélérée </w:t>
            </w:r>
            <w:r w:rsidR="00E83098">
              <w:t>exigeant d’agir incessamment</w:t>
            </w:r>
            <w:r w:rsidR="003C45F6">
              <w:rPr>
                <w:rStyle w:val="Appeldenotedefin"/>
              </w:rPr>
              <w:endnoteReference w:id="1"/>
            </w:r>
            <w:r w:rsidR="00E83098">
              <w:t>;</w:t>
            </w:r>
          </w:p>
        </w:tc>
      </w:tr>
      <w:tr w:rsidR="000F74AA" w14:paraId="6E427F9D" w14:textId="77777777" w:rsidTr="003D2416">
        <w:tc>
          <w:tcPr>
            <w:tcW w:w="1696" w:type="dxa"/>
          </w:tcPr>
          <w:p w14:paraId="476E55E5" w14:textId="2BC5FACF" w:rsidR="000F74AA" w:rsidRPr="0030751F" w:rsidRDefault="000F74AA" w:rsidP="003D2416">
            <w:pPr>
              <w:rPr>
                <w:b/>
                <w:bCs/>
              </w:rPr>
            </w:pPr>
            <w:r w:rsidRPr="0030751F">
              <w:rPr>
                <w:b/>
                <w:bCs/>
                <w:lang w:val="fr-FR"/>
              </w:rPr>
              <w:t>ATTENDU QUE</w:t>
            </w:r>
          </w:p>
        </w:tc>
        <w:tc>
          <w:tcPr>
            <w:tcW w:w="7700" w:type="dxa"/>
            <w:gridSpan w:val="2"/>
          </w:tcPr>
          <w:p w14:paraId="6EE1FA0C" w14:textId="6CAF5E0F" w:rsidR="000F74AA" w:rsidRPr="000F74AA" w:rsidRDefault="000F74AA" w:rsidP="003D2416">
            <w:pPr>
              <w:spacing w:after="240"/>
              <w:jc w:val="both"/>
              <w:rPr>
                <w:lang w:val="fr-FR"/>
              </w:rPr>
            </w:pPr>
            <w:proofErr w:type="gramStart"/>
            <w:r w:rsidRPr="000F74AA">
              <w:rPr>
                <w:lang w:val="fr-FR"/>
              </w:rPr>
              <w:t>un</w:t>
            </w:r>
            <w:proofErr w:type="gramEnd"/>
            <w:r w:rsidRPr="000F74AA">
              <w:rPr>
                <w:lang w:val="fr-FR"/>
              </w:rPr>
              <w:t xml:space="preserve"> changement de paradigme doit s’opérer afin de concevoir de la Nature comme sujet de droit devant être respectée et préservée</w:t>
            </w:r>
            <w:r w:rsidR="00ED0480">
              <w:rPr>
                <w:lang w:val="fr-FR"/>
              </w:rPr>
              <w:t> ;</w:t>
            </w:r>
          </w:p>
        </w:tc>
      </w:tr>
      <w:tr w:rsidR="00994403" w14:paraId="685268EF" w14:textId="77777777" w:rsidTr="003D2416">
        <w:tc>
          <w:tcPr>
            <w:tcW w:w="1696" w:type="dxa"/>
          </w:tcPr>
          <w:p w14:paraId="24DFE0BC" w14:textId="4DA5E3AA" w:rsidR="00994403" w:rsidRPr="0030751F" w:rsidRDefault="00994403" w:rsidP="003D2416">
            <w:pPr>
              <w:rPr>
                <w:b/>
                <w:bCs/>
              </w:rPr>
            </w:pPr>
            <w:r w:rsidRPr="0030751F">
              <w:rPr>
                <w:b/>
                <w:bCs/>
              </w:rPr>
              <w:t>ATTENDU QUE</w:t>
            </w:r>
          </w:p>
        </w:tc>
        <w:tc>
          <w:tcPr>
            <w:tcW w:w="7700" w:type="dxa"/>
            <w:gridSpan w:val="2"/>
          </w:tcPr>
          <w:p w14:paraId="3BBD4D7C" w14:textId="61929515" w:rsidR="00994403" w:rsidRDefault="003D2416" w:rsidP="003D2416">
            <w:pPr>
              <w:spacing w:after="240"/>
              <w:jc w:val="both"/>
            </w:pPr>
            <w:proofErr w:type="gramStart"/>
            <w:r>
              <w:rPr>
                <w:lang w:val="fr-FR"/>
              </w:rPr>
              <w:t>l</w:t>
            </w:r>
            <w:r w:rsidR="00994403" w:rsidRPr="003F3952">
              <w:rPr>
                <w:lang w:val="fr-FR"/>
              </w:rPr>
              <w:t>a</w:t>
            </w:r>
            <w:proofErr w:type="gramEnd"/>
            <w:r w:rsidR="00994403" w:rsidRPr="003F3952">
              <w:rPr>
                <w:lang w:val="fr-FR"/>
              </w:rPr>
              <w:t xml:space="preserve"> reconnaissance des droits de la Nature</w:t>
            </w:r>
            <w:r w:rsidR="00994403">
              <w:rPr>
                <w:lang w:val="fr-FR"/>
              </w:rPr>
              <w:t>, en complémentarité avec les outils juridiques actuellement en place,</w:t>
            </w:r>
            <w:r w:rsidR="00994403" w:rsidRPr="003F3952">
              <w:rPr>
                <w:lang w:val="fr-FR"/>
              </w:rPr>
              <w:t xml:space="preserve"> </w:t>
            </w:r>
            <w:r w:rsidR="00994403">
              <w:rPr>
                <w:lang w:val="fr-FR"/>
              </w:rPr>
              <w:t>favorise la protection des écosystèmes en dotant ceux-ci d’une personnalité juridique ;</w:t>
            </w:r>
            <w:r w:rsidR="00994403" w:rsidRPr="00767425">
              <w:rPr>
                <w:lang w:val="fr-FR"/>
              </w:rPr>
              <w:t xml:space="preserve"> </w:t>
            </w:r>
          </w:p>
        </w:tc>
      </w:tr>
      <w:tr w:rsidR="00ED0480" w14:paraId="7F4CF348" w14:textId="77777777" w:rsidTr="003D2416">
        <w:tc>
          <w:tcPr>
            <w:tcW w:w="1696" w:type="dxa"/>
          </w:tcPr>
          <w:p w14:paraId="7A7C0D4B" w14:textId="085681B9" w:rsidR="00ED0480" w:rsidRPr="0030751F" w:rsidRDefault="00ED0480" w:rsidP="00ED0480">
            <w:pPr>
              <w:rPr>
                <w:b/>
                <w:bCs/>
              </w:rPr>
            </w:pPr>
            <w:r w:rsidRPr="0030751F">
              <w:rPr>
                <w:b/>
                <w:bCs/>
              </w:rPr>
              <w:t>ATTENDU QUE</w:t>
            </w:r>
          </w:p>
        </w:tc>
        <w:tc>
          <w:tcPr>
            <w:tcW w:w="7700" w:type="dxa"/>
            <w:gridSpan w:val="2"/>
          </w:tcPr>
          <w:p w14:paraId="0416F1F5" w14:textId="3687D5EA" w:rsidR="00ED0480" w:rsidRPr="003C45F6" w:rsidRDefault="00ED0480" w:rsidP="003C45F6">
            <w:pPr>
              <w:spacing w:after="240"/>
              <w:ind w:left="29"/>
              <w:jc w:val="both"/>
            </w:pPr>
            <w:proofErr w:type="gramStart"/>
            <w:r w:rsidRPr="00E364A5">
              <w:rPr>
                <w:lang w:val="fr-FR"/>
              </w:rPr>
              <w:t>l’État</w:t>
            </w:r>
            <w:proofErr w:type="gramEnd"/>
            <w:r w:rsidRPr="00E364A5">
              <w:rPr>
                <w:lang w:val="fr-FR"/>
              </w:rPr>
              <w:t xml:space="preserve"> québécois a déjà reconnu dans </w:t>
            </w:r>
            <w:r w:rsidRPr="00121A8E">
              <w:rPr>
                <w:i/>
                <w:iCs/>
                <w:lang w:val="fr-FR"/>
              </w:rPr>
              <w:t>le Code civil du Québec</w:t>
            </w:r>
            <w:r w:rsidRPr="00E364A5">
              <w:rPr>
                <w:lang w:val="fr-FR"/>
              </w:rPr>
              <w:t xml:space="preserve"> l’approche </w:t>
            </w:r>
            <w:proofErr w:type="spellStart"/>
            <w:r w:rsidRPr="00E364A5">
              <w:rPr>
                <w:lang w:val="fr-FR"/>
              </w:rPr>
              <w:t>biocentriste</w:t>
            </w:r>
            <w:proofErr w:type="spellEnd"/>
            <w:r w:rsidRPr="00E364A5">
              <w:rPr>
                <w:lang w:val="fr-FR"/>
              </w:rPr>
              <w:t xml:space="preserve"> en vertu d</w:t>
            </w:r>
            <w:r>
              <w:rPr>
                <w:lang w:val="fr-FR"/>
              </w:rPr>
              <w:t>e la</w:t>
            </w:r>
            <w:r w:rsidRPr="00E364A5">
              <w:rPr>
                <w:lang w:val="fr-FR"/>
              </w:rPr>
              <w:t>quel</w:t>
            </w:r>
            <w:r>
              <w:rPr>
                <w:lang w:val="fr-FR"/>
              </w:rPr>
              <w:t>le</w:t>
            </w:r>
            <w:r w:rsidRPr="00E364A5">
              <w:rPr>
                <w:lang w:val="fr-FR"/>
              </w:rPr>
              <w:t xml:space="preserve"> les animaux ne sont plus des objets</w:t>
            </w:r>
            <w:r w:rsidR="00E46BAF">
              <w:rPr>
                <w:lang w:val="fr-FR"/>
              </w:rPr>
              <w:t>,</w:t>
            </w:r>
            <w:r>
              <w:rPr>
                <w:lang w:val="fr-FR"/>
              </w:rPr>
              <w:t xml:space="preserve"> </w:t>
            </w:r>
            <w:r w:rsidRPr="00E364A5">
              <w:rPr>
                <w:lang w:val="fr-FR"/>
              </w:rPr>
              <w:t>mais sont considérés à titre d</w:t>
            </w:r>
            <w:r>
              <w:rPr>
                <w:lang w:val="fr-FR"/>
              </w:rPr>
              <w:t>’</w:t>
            </w:r>
            <w:r w:rsidRPr="00E364A5">
              <w:rPr>
                <w:lang w:val="fr-FR"/>
              </w:rPr>
              <w:t>êtres vivants doués de sensibilité avec des impératifs biologiques</w:t>
            </w:r>
            <w:r w:rsidR="003C45F6">
              <w:rPr>
                <w:rStyle w:val="Appeldenotedefin"/>
                <w:lang w:val="fr-FR"/>
              </w:rPr>
              <w:endnoteReference w:id="2"/>
            </w:r>
            <w:r>
              <w:rPr>
                <w:lang w:val="fr-FR"/>
              </w:rPr>
              <w:t>;</w:t>
            </w:r>
          </w:p>
        </w:tc>
      </w:tr>
      <w:tr w:rsidR="00ED0480" w14:paraId="5989C607" w14:textId="77777777" w:rsidTr="003D2416">
        <w:tc>
          <w:tcPr>
            <w:tcW w:w="1696" w:type="dxa"/>
          </w:tcPr>
          <w:p w14:paraId="2F30CC21" w14:textId="7B4E6973" w:rsidR="00ED0480" w:rsidRPr="0030751F" w:rsidRDefault="00ED0480" w:rsidP="00ED0480">
            <w:pPr>
              <w:rPr>
                <w:b/>
                <w:bCs/>
              </w:rPr>
            </w:pPr>
            <w:r w:rsidRPr="0030751F">
              <w:rPr>
                <w:b/>
                <w:bCs/>
              </w:rPr>
              <w:t>ATTENDU QUE</w:t>
            </w:r>
          </w:p>
        </w:tc>
        <w:tc>
          <w:tcPr>
            <w:tcW w:w="7700" w:type="dxa"/>
            <w:gridSpan w:val="2"/>
          </w:tcPr>
          <w:p w14:paraId="7E13D2C5" w14:textId="54BC9D07" w:rsidR="00360BA9" w:rsidRDefault="00ED0480" w:rsidP="00C90EE4">
            <w:pPr>
              <w:spacing w:after="240"/>
              <w:jc w:val="both"/>
            </w:pPr>
            <w:proofErr w:type="gramStart"/>
            <w:r w:rsidRPr="00767425">
              <w:rPr>
                <w:lang w:val="fr-FR"/>
              </w:rPr>
              <w:t>des</w:t>
            </w:r>
            <w:proofErr w:type="gramEnd"/>
            <w:r w:rsidRPr="00767425">
              <w:rPr>
                <w:lang w:val="fr-FR"/>
              </w:rPr>
              <w:t xml:space="preserve"> municipalités (ex. </w:t>
            </w:r>
            <w:r w:rsidR="00360BA9">
              <w:rPr>
                <w:lang w:val="fr-FR"/>
              </w:rPr>
              <w:t xml:space="preserve">la MRC de </w:t>
            </w:r>
            <w:proofErr w:type="spellStart"/>
            <w:r w:rsidR="00360BA9">
              <w:rPr>
                <w:lang w:val="fr-FR"/>
              </w:rPr>
              <w:t>Minganie</w:t>
            </w:r>
            <w:proofErr w:type="spellEnd"/>
            <w:r w:rsidR="00360BA9">
              <w:rPr>
                <w:lang w:val="fr-FR"/>
              </w:rPr>
              <w:t xml:space="preserve"> au Québec, la </w:t>
            </w:r>
            <w:r w:rsidRPr="00360BA9">
              <w:t>Ville de Mexico</w:t>
            </w:r>
            <w:r w:rsidR="00360BA9">
              <w:t xml:space="preserve"> (Mx)</w:t>
            </w:r>
            <w:r w:rsidRPr="00360BA9">
              <w:t xml:space="preserve">, </w:t>
            </w:r>
            <w:proofErr w:type="spellStart"/>
            <w:r w:rsidR="00360BA9">
              <w:t>Tamaqua</w:t>
            </w:r>
            <w:proofErr w:type="spellEnd"/>
            <w:r w:rsidR="00360BA9">
              <w:t xml:space="preserve"> Borough (PA), Orange County (</w:t>
            </w:r>
            <w:proofErr w:type="spellStart"/>
            <w:r w:rsidR="00360BA9">
              <w:t>Fl</w:t>
            </w:r>
            <w:proofErr w:type="spellEnd"/>
            <w:r w:rsidR="00360BA9">
              <w:t xml:space="preserve">), </w:t>
            </w:r>
            <w:proofErr w:type="spellStart"/>
            <w:r w:rsidR="00C90EE4" w:rsidRPr="00360BA9">
              <w:t>Crestone</w:t>
            </w:r>
            <w:proofErr w:type="spellEnd"/>
            <w:r w:rsidR="00C90EE4">
              <w:t xml:space="preserve"> (Colorado),</w:t>
            </w:r>
            <w:r w:rsidR="00C90EE4" w:rsidRPr="00360BA9">
              <w:t xml:space="preserve"> </w:t>
            </w:r>
            <w:r w:rsidRPr="00360BA9">
              <w:t>Santa Monica et San Francisco</w:t>
            </w:r>
            <w:r w:rsidR="00360BA9">
              <w:t xml:space="preserve"> </w:t>
            </w:r>
            <w:r w:rsidR="00C90EE4">
              <w:t>(</w:t>
            </w:r>
            <w:r w:rsidR="00360BA9">
              <w:t>USA</w:t>
            </w:r>
            <w:r w:rsidRPr="00360BA9">
              <w:t>)</w:t>
            </w:r>
            <w:r w:rsidR="00C90EE4">
              <w:t>, entre autres</w:t>
            </w:r>
            <w:r w:rsidRPr="00360BA9">
              <w:t xml:space="preserve">, provinces (ex. </w:t>
            </w:r>
            <w:r w:rsidRPr="00767425">
              <w:rPr>
                <w:lang w:val="fr-FR"/>
              </w:rPr>
              <w:t>Victoria, Australie et Colima,</w:t>
            </w:r>
            <w:r w:rsidR="00C90EE4">
              <w:rPr>
                <w:lang w:val="fr-FR"/>
              </w:rPr>
              <w:t xml:space="preserve"> Oaxaca et Guerrero</w:t>
            </w:r>
            <w:r w:rsidRPr="00767425">
              <w:rPr>
                <w:lang w:val="fr-FR"/>
              </w:rPr>
              <w:t xml:space="preserve"> Mexique), pays (ex. l’Équateur, la Bolivie</w:t>
            </w:r>
            <w:r w:rsidR="00A857C8">
              <w:rPr>
                <w:lang w:val="fr-FR"/>
              </w:rPr>
              <w:t>,</w:t>
            </w:r>
            <w:r w:rsidRPr="00767425">
              <w:rPr>
                <w:lang w:val="fr-FR"/>
              </w:rPr>
              <w:t xml:space="preserve"> la Nouvelle Zélande</w:t>
            </w:r>
            <w:r w:rsidR="00A857C8">
              <w:rPr>
                <w:lang w:val="fr-FR"/>
              </w:rPr>
              <w:t xml:space="preserve"> et l’Espagne</w:t>
            </w:r>
            <w:r w:rsidRPr="00767425">
              <w:rPr>
                <w:lang w:val="fr-FR"/>
              </w:rPr>
              <w:t>) et autres juridictions du monde entier ont reconnu l</w:t>
            </w:r>
            <w:r w:rsidR="00A857C8">
              <w:rPr>
                <w:lang w:val="fr-FR"/>
              </w:rPr>
              <w:t>a personnalité</w:t>
            </w:r>
            <w:r w:rsidRPr="00767425">
              <w:rPr>
                <w:lang w:val="fr-FR"/>
              </w:rPr>
              <w:t xml:space="preserve"> juridique </w:t>
            </w:r>
            <w:r w:rsidR="00A857C8">
              <w:rPr>
                <w:lang w:val="fr-FR"/>
              </w:rPr>
              <w:t xml:space="preserve">à des écosystèmes </w:t>
            </w:r>
            <w:r w:rsidRPr="00767425">
              <w:rPr>
                <w:lang w:val="fr-FR"/>
              </w:rPr>
              <w:t xml:space="preserve">et </w:t>
            </w:r>
            <w:r w:rsidR="00A857C8">
              <w:rPr>
                <w:lang w:val="fr-FR"/>
              </w:rPr>
              <w:t>l</w:t>
            </w:r>
            <w:r w:rsidRPr="00767425">
              <w:rPr>
                <w:lang w:val="fr-FR"/>
              </w:rPr>
              <w:t>es droits de la Nature</w:t>
            </w:r>
            <w:r w:rsidR="003C45F6">
              <w:rPr>
                <w:rStyle w:val="Appeldenotedefin"/>
                <w:lang w:val="fr-FR"/>
              </w:rPr>
              <w:endnoteReference w:id="3"/>
            </w:r>
            <w:r w:rsidRPr="00767425">
              <w:rPr>
                <w:lang w:val="fr-FR"/>
              </w:rPr>
              <w:t>;</w:t>
            </w:r>
          </w:p>
        </w:tc>
      </w:tr>
      <w:tr w:rsidR="00ED0480" w14:paraId="7D14E1FA" w14:textId="77777777" w:rsidTr="003D2416">
        <w:tc>
          <w:tcPr>
            <w:tcW w:w="1696" w:type="dxa"/>
          </w:tcPr>
          <w:p w14:paraId="157EDB21" w14:textId="0A3056A5" w:rsidR="00ED0480" w:rsidRPr="0030751F" w:rsidRDefault="00ED0480" w:rsidP="00ED0480">
            <w:pPr>
              <w:rPr>
                <w:b/>
                <w:bCs/>
              </w:rPr>
            </w:pPr>
            <w:r w:rsidRPr="0030751F">
              <w:rPr>
                <w:b/>
                <w:bCs/>
              </w:rPr>
              <w:t>ATTENDU QUE</w:t>
            </w:r>
          </w:p>
        </w:tc>
        <w:tc>
          <w:tcPr>
            <w:tcW w:w="7700" w:type="dxa"/>
            <w:gridSpan w:val="2"/>
          </w:tcPr>
          <w:p w14:paraId="3874ADBC" w14:textId="4A68DB6D" w:rsidR="00ED0480" w:rsidRDefault="00196EE3" w:rsidP="00ED0480">
            <w:pPr>
              <w:spacing w:after="240"/>
              <w:jc w:val="both"/>
            </w:pPr>
            <w:proofErr w:type="gramStart"/>
            <w:r>
              <w:t>l</w:t>
            </w:r>
            <w:r w:rsidR="00ED0480">
              <w:t>’</w:t>
            </w:r>
            <w:r w:rsidR="00ED0480" w:rsidRPr="00D127DD">
              <w:rPr>
                <w:i/>
                <w:iCs/>
              </w:rPr>
              <w:t>Observatoire</w:t>
            </w:r>
            <w:proofErr w:type="gramEnd"/>
            <w:r w:rsidR="00ED0480" w:rsidRPr="00D127DD">
              <w:rPr>
                <w:i/>
                <w:iCs/>
              </w:rPr>
              <w:t xml:space="preserve"> international des droits de la Nature</w:t>
            </w:r>
            <w:r w:rsidR="00ED0480">
              <w:t xml:space="preserve"> </w:t>
            </w:r>
            <w:r w:rsidR="00A857C8">
              <w:t xml:space="preserve">avec des </w:t>
            </w:r>
            <w:r w:rsidR="00ED0480">
              <w:t xml:space="preserve">partenaires de </w:t>
            </w:r>
            <w:r w:rsidR="00D127DD">
              <w:t>divers</w:t>
            </w:r>
            <w:r w:rsidR="00ED0480">
              <w:t xml:space="preserve"> milieux </w:t>
            </w:r>
            <w:r w:rsidR="00D127DD">
              <w:t xml:space="preserve">bâtissent une </w:t>
            </w:r>
            <w:r w:rsidR="00ED0480" w:rsidRPr="00670C34">
              <w:rPr>
                <w:i/>
                <w:iCs/>
              </w:rPr>
              <w:t xml:space="preserve">Alliance </w:t>
            </w:r>
            <w:r w:rsidR="00D127DD">
              <w:rPr>
                <w:i/>
                <w:iCs/>
              </w:rPr>
              <w:t xml:space="preserve">autour du Fleuve </w:t>
            </w:r>
            <w:r w:rsidR="00ED0480" w:rsidRPr="00670C34">
              <w:rPr>
                <w:i/>
                <w:iCs/>
              </w:rPr>
              <w:t>Saint-Laurent</w:t>
            </w:r>
            <w:r w:rsidR="00ED0480">
              <w:t xml:space="preserve">, </w:t>
            </w:r>
            <w:r w:rsidR="00D127DD">
              <w:t>dans le but de proposer une loi qui reconnaîtra la personnalité juridique du Fleuve</w:t>
            </w:r>
            <w:r w:rsidR="00C90EE4">
              <w:t xml:space="preserve"> Saint-Laurent</w:t>
            </w:r>
            <w:r w:rsidR="00D127DD">
              <w:t>.</w:t>
            </w:r>
          </w:p>
          <w:p w14:paraId="3EA939A2" w14:textId="45CF3017" w:rsidR="00813844" w:rsidRDefault="00813844" w:rsidP="00ED0480">
            <w:pPr>
              <w:spacing w:after="240"/>
              <w:jc w:val="both"/>
            </w:pPr>
          </w:p>
        </w:tc>
      </w:tr>
      <w:tr w:rsidR="00ED0480" w14:paraId="00E68FC6" w14:textId="77777777" w:rsidTr="003D2416">
        <w:tc>
          <w:tcPr>
            <w:tcW w:w="1696" w:type="dxa"/>
          </w:tcPr>
          <w:p w14:paraId="7762B090" w14:textId="09B6F89E" w:rsidR="00ED0480" w:rsidRPr="0030751F" w:rsidRDefault="00ED0480" w:rsidP="00ED0480">
            <w:pPr>
              <w:rPr>
                <w:b/>
                <w:bCs/>
              </w:rPr>
            </w:pPr>
            <w:r w:rsidRPr="0030751F">
              <w:rPr>
                <w:b/>
                <w:bCs/>
              </w:rPr>
              <w:lastRenderedPageBreak/>
              <w:t xml:space="preserve">ATTENDU QUE </w:t>
            </w:r>
          </w:p>
        </w:tc>
        <w:tc>
          <w:tcPr>
            <w:tcW w:w="7700" w:type="dxa"/>
            <w:gridSpan w:val="2"/>
          </w:tcPr>
          <w:p w14:paraId="201C8351" w14:textId="7A704C5C" w:rsidR="00ED0480" w:rsidRDefault="00196EE3" w:rsidP="00ED0480">
            <w:pPr>
              <w:spacing w:after="240"/>
              <w:jc w:val="both"/>
            </w:pPr>
            <w:proofErr w:type="gramStart"/>
            <w:r>
              <w:t>l</w:t>
            </w:r>
            <w:r w:rsidR="00ED0480">
              <w:t>es</w:t>
            </w:r>
            <w:proofErr w:type="gramEnd"/>
            <w:r w:rsidR="00ED0480">
              <w:t xml:space="preserve"> municipalités sont des act</w:t>
            </w:r>
            <w:r w:rsidR="00D127DD">
              <w:t>eurs</w:t>
            </w:r>
            <w:r w:rsidR="00ED0480">
              <w:t xml:space="preserve"> clés dans la </w:t>
            </w:r>
            <w:r w:rsidR="00D127DD">
              <w:t xml:space="preserve">protection de l’eau, de l’environnement et de la biodiversité </w:t>
            </w:r>
            <w:r w:rsidR="00C90EE4">
              <w:t xml:space="preserve">et qui peuvent participer dans la </w:t>
            </w:r>
            <w:r w:rsidR="00ED0480">
              <w:t>transformation des</w:t>
            </w:r>
            <w:r w:rsidR="00ED0480" w:rsidRPr="00767425">
              <w:rPr>
                <w:lang w:val="fr-FR"/>
              </w:rPr>
              <w:t xml:space="preserve"> structures qui sont à l’origine des changements climatiques et de la dégradation d</w:t>
            </w:r>
            <w:r w:rsidR="00ED0480">
              <w:rPr>
                <w:lang w:val="fr-FR"/>
              </w:rPr>
              <w:t>es écosystèmes</w:t>
            </w:r>
            <w:r w:rsidR="00ED0480" w:rsidRPr="00767425">
              <w:rPr>
                <w:lang w:val="fr-FR"/>
              </w:rPr>
              <w:t xml:space="preserve">, afin d’assurer un environnement sain et écologiquement équilibré </w:t>
            </w:r>
            <w:r w:rsidR="00ED0480">
              <w:rPr>
                <w:lang w:val="fr-FR"/>
              </w:rPr>
              <w:t>pour</w:t>
            </w:r>
            <w:r w:rsidR="00ED0480" w:rsidRPr="00767425">
              <w:rPr>
                <w:lang w:val="fr-FR"/>
              </w:rPr>
              <w:t xml:space="preserve"> l</w:t>
            </w:r>
            <w:r w:rsidR="00ED0480">
              <w:rPr>
                <w:lang w:val="fr-FR"/>
              </w:rPr>
              <w:t xml:space="preserve">e </w:t>
            </w:r>
            <w:r w:rsidR="00ED0480">
              <w:t xml:space="preserve">respect des droits </w:t>
            </w:r>
            <w:r w:rsidR="00ED0480" w:rsidRPr="00767425">
              <w:rPr>
                <w:lang w:val="fr-FR"/>
              </w:rPr>
              <w:t>des générations</w:t>
            </w:r>
            <w:r w:rsidR="00ED0480">
              <w:rPr>
                <w:lang w:val="fr-FR"/>
              </w:rPr>
              <w:t xml:space="preserve"> actuelles et</w:t>
            </w:r>
            <w:r w:rsidR="00ED0480" w:rsidRPr="00767425">
              <w:rPr>
                <w:lang w:val="fr-FR"/>
              </w:rPr>
              <w:t xml:space="preserve"> futures</w:t>
            </w:r>
            <w:r w:rsidR="00ED0480">
              <w:rPr>
                <w:lang w:val="fr-FR"/>
              </w:rPr>
              <w:t> ;</w:t>
            </w:r>
          </w:p>
        </w:tc>
      </w:tr>
      <w:tr w:rsidR="00ED0480" w14:paraId="5FBE857B" w14:textId="77777777" w:rsidTr="003D2416">
        <w:tc>
          <w:tcPr>
            <w:tcW w:w="1696" w:type="dxa"/>
          </w:tcPr>
          <w:p w14:paraId="6CAD0F21" w14:textId="769CEA6B" w:rsidR="00ED0480" w:rsidRPr="0030751F" w:rsidRDefault="00ED0480" w:rsidP="00ED0480">
            <w:pPr>
              <w:rPr>
                <w:b/>
                <w:bCs/>
              </w:rPr>
            </w:pPr>
            <w:r>
              <w:rPr>
                <w:b/>
                <w:bCs/>
              </w:rPr>
              <w:t>ATTENDU QUE</w:t>
            </w:r>
          </w:p>
        </w:tc>
        <w:tc>
          <w:tcPr>
            <w:tcW w:w="7700" w:type="dxa"/>
            <w:gridSpan w:val="2"/>
          </w:tcPr>
          <w:p w14:paraId="462A4C50" w14:textId="72C8291E" w:rsidR="00813844" w:rsidRDefault="005225C6" w:rsidP="00196EE3">
            <w:pPr>
              <w:spacing w:after="240"/>
              <w:jc w:val="both"/>
            </w:pPr>
            <w:proofErr w:type="gramStart"/>
            <w:r>
              <w:t>pour</w:t>
            </w:r>
            <w:proofErr w:type="gramEnd"/>
            <w:r>
              <w:t xml:space="preserve"> permettre aux municipalités de mener à bien cette mission, </w:t>
            </w:r>
            <w:r w:rsidR="00813844">
              <w:t>et d’offrir</w:t>
            </w:r>
            <w:r w:rsidR="00BF1681">
              <w:t xml:space="preserve"> une qualité</w:t>
            </w:r>
            <w:r w:rsidR="00813844">
              <w:t xml:space="preserve"> de vie et de travail </w:t>
            </w:r>
            <w:r w:rsidR="00BF1681">
              <w:t>adéquats</w:t>
            </w:r>
            <w:r w:rsidR="00813844">
              <w:t xml:space="preserve">, </w:t>
            </w:r>
            <w:r w:rsidR="002E0550">
              <w:t xml:space="preserve">il est essentiel de remédier au manque </w:t>
            </w:r>
            <w:r w:rsidR="00BF1681">
              <w:t>d’investissement dans</w:t>
            </w:r>
            <w:r w:rsidR="00813844">
              <w:t xml:space="preserve"> les services </w:t>
            </w:r>
            <w:r w:rsidR="00BF1681">
              <w:t xml:space="preserve">publics </w:t>
            </w:r>
            <w:r w:rsidR="00813844">
              <w:t xml:space="preserve">de traitement d’eau potable et d’assainissement </w:t>
            </w:r>
            <w:r w:rsidR="00BF1681">
              <w:t>pour qu’ils répondent aux impératifs environnementaux et de qualité de l’eau</w:t>
            </w:r>
            <w:r w:rsidR="002E0550">
              <w:t>;</w:t>
            </w:r>
          </w:p>
        </w:tc>
      </w:tr>
      <w:tr w:rsidR="00ED0480" w14:paraId="45DFDC0A" w14:textId="77777777" w:rsidTr="003D2416">
        <w:trPr>
          <w:trHeight w:val="699"/>
        </w:trPr>
        <w:tc>
          <w:tcPr>
            <w:tcW w:w="1696" w:type="dxa"/>
          </w:tcPr>
          <w:p w14:paraId="5D9670ED" w14:textId="16A09AAF" w:rsidR="00ED0480" w:rsidRPr="0030751F" w:rsidRDefault="00ED0480" w:rsidP="00ED0480">
            <w:pPr>
              <w:rPr>
                <w:b/>
                <w:bCs/>
              </w:rPr>
            </w:pPr>
            <w:r w:rsidRPr="0030751F">
              <w:rPr>
                <w:b/>
                <w:bCs/>
              </w:rPr>
              <w:t>Pour ces raisons</w:t>
            </w:r>
          </w:p>
        </w:tc>
        <w:tc>
          <w:tcPr>
            <w:tcW w:w="7700" w:type="dxa"/>
            <w:gridSpan w:val="2"/>
          </w:tcPr>
          <w:p w14:paraId="6F77114E" w14:textId="77777777" w:rsidR="00ED0480" w:rsidRDefault="00ED0480" w:rsidP="00ED0480">
            <w:pPr>
              <w:spacing w:after="240"/>
              <w:jc w:val="both"/>
            </w:pPr>
          </w:p>
        </w:tc>
      </w:tr>
      <w:tr w:rsidR="00ED0480" w14:paraId="4C963EF0" w14:textId="77777777" w:rsidTr="000B16C1">
        <w:trPr>
          <w:trHeight w:val="392"/>
        </w:trPr>
        <w:tc>
          <w:tcPr>
            <w:tcW w:w="3544" w:type="dxa"/>
            <w:gridSpan w:val="2"/>
          </w:tcPr>
          <w:p w14:paraId="6F7F5715" w14:textId="78902AB5" w:rsidR="00ED0480" w:rsidRPr="0030751F" w:rsidRDefault="00ED0480" w:rsidP="00ED0480">
            <w:pPr>
              <w:spacing w:after="240"/>
              <w:jc w:val="both"/>
              <w:rPr>
                <w:b/>
                <w:bCs/>
              </w:rPr>
            </w:pPr>
            <w:r w:rsidRPr="0030751F">
              <w:rPr>
                <w:b/>
                <w:bCs/>
              </w:rPr>
              <w:t xml:space="preserve">QU’IL SOIT RÉSOLU </w:t>
            </w:r>
          </w:p>
        </w:tc>
        <w:tc>
          <w:tcPr>
            <w:tcW w:w="5852" w:type="dxa"/>
          </w:tcPr>
          <w:p w14:paraId="033CBFC9" w14:textId="5DD0A6AD" w:rsidR="00ED0480" w:rsidRDefault="00ED0480" w:rsidP="00ED0480">
            <w:pPr>
              <w:spacing w:after="240"/>
              <w:jc w:val="both"/>
            </w:pPr>
          </w:p>
        </w:tc>
      </w:tr>
      <w:tr w:rsidR="00ED0480" w14:paraId="441E22ED" w14:textId="77777777" w:rsidTr="003D2416">
        <w:trPr>
          <w:trHeight w:val="1004"/>
        </w:trPr>
        <w:tc>
          <w:tcPr>
            <w:tcW w:w="1696" w:type="dxa"/>
          </w:tcPr>
          <w:p w14:paraId="7951C0E1" w14:textId="4A6CFF9C" w:rsidR="00ED0480" w:rsidRPr="0030751F" w:rsidRDefault="00ED0480" w:rsidP="00ED0480">
            <w:pPr>
              <w:rPr>
                <w:b/>
                <w:bCs/>
              </w:rPr>
            </w:pPr>
            <w:r w:rsidRPr="0030751F">
              <w:rPr>
                <w:b/>
                <w:bCs/>
              </w:rPr>
              <w:t>QUE</w:t>
            </w:r>
          </w:p>
        </w:tc>
        <w:tc>
          <w:tcPr>
            <w:tcW w:w="7700" w:type="dxa"/>
            <w:gridSpan w:val="2"/>
          </w:tcPr>
          <w:p w14:paraId="506169A1" w14:textId="5836207C" w:rsidR="00ED0480" w:rsidRDefault="00813844" w:rsidP="00ED0480">
            <w:pPr>
              <w:spacing w:after="240"/>
              <w:jc w:val="both"/>
            </w:pPr>
            <w:r>
              <w:t>L</w:t>
            </w:r>
            <w:r w:rsidR="00B11D25">
              <w:t>a</w:t>
            </w:r>
            <w:r>
              <w:t xml:space="preserve"> </w:t>
            </w:r>
            <w:r w:rsidR="00ED0480">
              <w:t xml:space="preserve">____________________ soutient les démarches de l’Observatoire international des droits de la Nature et </w:t>
            </w:r>
            <w:r w:rsidR="00C90EE4">
              <w:t xml:space="preserve">se joint à </w:t>
            </w:r>
            <w:r w:rsidR="00ED0480">
              <w:t>l’Alliance Saint-Laurent, visant à reconnaître l</w:t>
            </w:r>
            <w:r w:rsidR="00C90EE4">
              <w:t>a personnalité juridique et des droits au</w:t>
            </w:r>
            <w:r w:rsidR="00ED0480">
              <w:t xml:space="preserve"> Fleuve Saint-Laurent;</w:t>
            </w:r>
          </w:p>
        </w:tc>
      </w:tr>
      <w:tr w:rsidR="00ED0480" w14:paraId="117BC034" w14:textId="77777777" w:rsidTr="003D2416">
        <w:tc>
          <w:tcPr>
            <w:tcW w:w="1696" w:type="dxa"/>
          </w:tcPr>
          <w:p w14:paraId="35C59D2C" w14:textId="0847C88B" w:rsidR="00ED0480" w:rsidRPr="0030751F" w:rsidRDefault="00ED0480" w:rsidP="00ED0480">
            <w:pPr>
              <w:rPr>
                <w:b/>
                <w:bCs/>
              </w:rPr>
            </w:pPr>
            <w:r w:rsidRPr="0030751F">
              <w:rPr>
                <w:b/>
                <w:bCs/>
              </w:rPr>
              <w:t>QUE</w:t>
            </w:r>
          </w:p>
        </w:tc>
        <w:tc>
          <w:tcPr>
            <w:tcW w:w="7700" w:type="dxa"/>
            <w:gridSpan w:val="2"/>
          </w:tcPr>
          <w:p w14:paraId="792B6983" w14:textId="2AFD7F13" w:rsidR="003134E9" w:rsidRDefault="00196EE3" w:rsidP="00CC4D8B">
            <w:pPr>
              <w:spacing w:after="240"/>
              <w:jc w:val="both"/>
            </w:pPr>
            <w:proofErr w:type="gramStart"/>
            <w:r>
              <w:t>p</w:t>
            </w:r>
            <w:r w:rsidR="00ED0480">
              <w:t>ar</w:t>
            </w:r>
            <w:proofErr w:type="gramEnd"/>
            <w:r w:rsidR="00ED0480">
              <w:t xml:space="preserve"> l</w:t>
            </w:r>
            <w:r>
              <w:t>a</w:t>
            </w:r>
            <w:r w:rsidR="00ED0480">
              <w:t xml:space="preserve"> présente, </w:t>
            </w:r>
            <w:r w:rsidR="00813844">
              <w:t>l</w:t>
            </w:r>
            <w:r w:rsidR="00B11D25">
              <w:t>a</w:t>
            </w:r>
            <w:r w:rsidR="00813844">
              <w:t>_____________</w:t>
            </w:r>
            <w:r w:rsidR="00ED0480">
              <w:t xml:space="preserve"> exprime son appui à la sollicitation des instances gouvernementales pour demander la reconnaissance d’un nouveau statut pour le Fleuve Saint-Laurent</w:t>
            </w:r>
            <w:r>
              <w:t xml:space="preserve">, soit celui de sujet de </w:t>
            </w:r>
            <w:r w:rsidR="00E46BAF">
              <w:t>droit</w:t>
            </w:r>
            <w:r>
              <w:t>.</w:t>
            </w:r>
          </w:p>
        </w:tc>
      </w:tr>
      <w:tr w:rsidR="00CC4D8B" w14:paraId="2C618EBF" w14:textId="77777777" w:rsidTr="003D2416">
        <w:tc>
          <w:tcPr>
            <w:tcW w:w="1696" w:type="dxa"/>
          </w:tcPr>
          <w:p w14:paraId="5F3E56F2" w14:textId="77777777" w:rsidR="00CC4D8B" w:rsidRDefault="00CC4D8B" w:rsidP="00ED0480">
            <w:pPr>
              <w:rPr>
                <w:b/>
                <w:bCs/>
              </w:rPr>
            </w:pPr>
            <w:r>
              <w:rPr>
                <w:b/>
                <w:bCs/>
              </w:rPr>
              <w:t>QUE</w:t>
            </w:r>
          </w:p>
          <w:p w14:paraId="3D826F80" w14:textId="77777777" w:rsidR="00813844" w:rsidRDefault="00813844" w:rsidP="00813844">
            <w:pPr>
              <w:rPr>
                <w:b/>
                <w:bCs/>
              </w:rPr>
            </w:pPr>
          </w:p>
          <w:p w14:paraId="20B319FC" w14:textId="77777777" w:rsidR="00813844" w:rsidRDefault="00813844" w:rsidP="00813844">
            <w:pPr>
              <w:rPr>
                <w:b/>
                <w:bCs/>
              </w:rPr>
            </w:pPr>
          </w:p>
          <w:p w14:paraId="2B4F8170" w14:textId="77777777" w:rsidR="00BF1681" w:rsidRDefault="00BF1681" w:rsidP="00813844">
            <w:pPr>
              <w:rPr>
                <w:b/>
                <w:bCs/>
              </w:rPr>
            </w:pPr>
          </w:p>
          <w:p w14:paraId="222166EC" w14:textId="685F4E66" w:rsidR="00813844" w:rsidRPr="00813844" w:rsidRDefault="00813844" w:rsidP="00813844">
            <w:pPr>
              <w:rPr>
                <w:b/>
                <w:bCs/>
              </w:rPr>
            </w:pPr>
            <w:r w:rsidRPr="00813844">
              <w:rPr>
                <w:b/>
                <w:bCs/>
              </w:rPr>
              <w:t>QUE</w:t>
            </w:r>
          </w:p>
        </w:tc>
        <w:tc>
          <w:tcPr>
            <w:tcW w:w="7700" w:type="dxa"/>
            <w:gridSpan w:val="2"/>
          </w:tcPr>
          <w:p w14:paraId="7AE54487" w14:textId="686321C0" w:rsidR="00813844" w:rsidRDefault="00196EE3" w:rsidP="00ED0480">
            <w:pPr>
              <w:spacing w:after="240"/>
              <w:jc w:val="both"/>
            </w:pPr>
            <w:proofErr w:type="gramStart"/>
            <w:r>
              <w:t>l</w:t>
            </w:r>
            <w:r w:rsidR="00B11D25">
              <w:t>a</w:t>
            </w:r>
            <w:proofErr w:type="gramEnd"/>
            <w:r w:rsidR="00CC4D8B">
              <w:t xml:space="preserve"> ______________ reconnaît que la protection des droits du Fleuve Saint-Laurent </w:t>
            </w:r>
            <w:r w:rsidR="00813844">
              <w:t xml:space="preserve">passe par la priorisation d’un </w:t>
            </w:r>
            <w:r w:rsidR="00BF1681">
              <w:t xml:space="preserve">investissement dans les infrastructures </w:t>
            </w:r>
            <w:r w:rsidR="00E9054C">
              <w:t>publiques</w:t>
            </w:r>
            <w:r w:rsidR="00BF1681">
              <w:t xml:space="preserve"> pour assainir l</w:t>
            </w:r>
            <w:r w:rsidR="00813844">
              <w:t>es eaux usées</w:t>
            </w:r>
            <w:r w:rsidR="00E9054C">
              <w:t xml:space="preserve"> et traiter adéquatement l’eau potable</w:t>
            </w:r>
            <w:r w:rsidR="00813844">
              <w:t xml:space="preserve">. </w:t>
            </w:r>
          </w:p>
          <w:p w14:paraId="76761DC9" w14:textId="21BC8951" w:rsidR="00CC4D8B" w:rsidRDefault="00E9054C" w:rsidP="00ED0480">
            <w:pPr>
              <w:spacing w:after="240"/>
              <w:jc w:val="both"/>
            </w:pPr>
            <w:proofErr w:type="gramStart"/>
            <w:r>
              <w:t>l</w:t>
            </w:r>
            <w:r w:rsidR="00BF1681">
              <w:t>a</w:t>
            </w:r>
            <w:proofErr w:type="gramEnd"/>
            <w:r w:rsidR="00BF1681">
              <w:t xml:space="preserve"> protection du Fleuve </w:t>
            </w:r>
            <w:r w:rsidR="00CC4D8B">
              <w:t xml:space="preserve">devra être assurée par des Gardiens, représentant les réalités des différentes communautés riveraines, qui auront </w:t>
            </w:r>
            <w:r w:rsidR="00CC4D8B" w:rsidRPr="00767425">
              <w:rPr>
                <w:bCs/>
                <w:lang w:val="fr-FR"/>
              </w:rPr>
              <w:t>le devoir d'agir au nom des droits et des intérêts d</w:t>
            </w:r>
            <w:r w:rsidR="00CC4D8B">
              <w:rPr>
                <w:bCs/>
                <w:lang w:val="fr-FR"/>
              </w:rPr>
              <w:t xml:space="preserve">u Fleuve </w:t>
            </w:r>
            <w:r w:rsidR="00CC4D8B" w:rsidRPr="00767425">
              <w:rPr>
                <w:bCs/>
                <w:lang w:val="fr-FR"/>
              </w:rPr>
              <w:t>et de veiller à la protection de ses droits fondamentau</w:t>
            </w:r>
            <w:r w:rsidR="00CC4D8B">
              <w:rPr>
                <w:bCs/>
                <w:lang w:val="fr-FR"/>
              </w:rPr>
              <w:t>x ;</w:t>
            </w:r>
          </w:p>
        </w:tc>
      </w:tr>
      <w:tr w:rsidR="00CC4D8B" w14:paraId="29A94548" w14:textId="77777777" w:rsidTr="003D2416">
        <w:tc>
          <w:tcPr>
            <w:tcW w:w="1696" w:type="dxa"/>
          </w:tcPr>
          <w:p w14:paraId="5D9B546E" w14:textId="6911DBDC" w:rsidR="00CC4D8B" w:rsidRPr="0030751F" w:rsidRDefault="00CC4D8B" w:rsidP="00ED0480">
            <w:pPr>
              <w:rPr>
                <w:b/>
                <w:bCs/>
              </w:rPr>
            </w:pPr>
            <w:r>
              <w:rPr>
                <w:b/>
                <w:bCs/>
              </w:rPr>
              <w:t>QUE</w:t>
            </w:r>
          </w:p>
        </w:tc>
        <w:tc>
          <w:tcPr>
            <w:tcW w:w="7700" w:type="dxa"/>
            <w:gridSpan w:val="2"/>
          </w:tcPr>
          <w:p w14:paraId="2B02E8CA" w14:textId="454804C3" w:rsidR="00CC4D8B" w:rsidRDefault="00BF1681" w:rsidP="00ED0480">
            <w:pPr>
              <w:spacing w:after="240"/>
              <w:jc w:val="both"/>
            </w:pPr>
            <w:proofErr w:type="gramStart"/>
            <w:r>
              <w:t>l</w:t>
            </w:r>
            <w:r w:rsidR="00B11D25">
              <w:t>a</w:t>
            </w:r>
            <w:proofErr w:type="gramEnd"/>
            <w:r w:rsidR="00CC4D8B">
              <w:t xml:space="preserve"> ___________________ </w:t>
            </w:r>
            <w:r w:rsidR="00A8678A">
              <w:t>souligne l’importance que l</w:t>
            </w:r>
            <w:r w:rsidR="00CC4D8B">
              <w:t xml:space="preserve">es municipalités </w:t>
            </w:r>
            <w:r w:rsidR="00A8678A">
              <w:t>soient</w:t>
            </w:r>
            <w:r w:rsidR="00CC4D8B">
              <w:t xml:space="preserve"> soutenues et adéquatement financées </w:t>
            </w:r>
            <w:r w:rsidR="00CC4D8B" w:rsidRPr="00767425">
              <w:rPr>
                <w:bCs/>
                <w:lang w:val="fr-FR"/>
              </w:rPr>
              <w:t xml:space="preserve">pour garantir </w:t>
            </w:r>
            <w:r>
              <w:rPr>
                <w:bCs/>
                <w:lang w:val="fr-FR"/>
              </w:rPr>
              <w:t xml:space="preserve">tant le respect des droits </w:t>
            </w:r>
            <w:r w:rsidR="00CC4D8B" w:rsidRPr="00767425">
              <w:rPr>
                <w:bCs/>
                <w:lang w:val="fr-FR"/>
              </w:rPr>
              <w:t>d</w:t>
            </w:r>
            <w:r w:rsidR="00CC4D8B">
              <w:rPr>
                <w:bCs/>
                <w:lang w:val="fr-FR"/>
              </w:rPr>
              <w:t>u Fleuve Saint-Laurent</w:t>
            </w:r>
            <w:r>
              <w:rPr>
                <w:bCs/>
                <w:lang w:val="fr-FR"/>
              </w:rPr>
              <w:t xml:space="preserve"> que le respect du droit à un environnement sain, ainsi que le droit </w:t>
            </w:r>
            <w:r w:rsidR="005D459E">
              <w:rPr>
                <w:bCs/>
                <w:lang w:val="fr-FR"/>
              </w:rPr>
              <w:t>humain</w:t>
            </w:r>
            <w:r>
              <w:rPr>
                <w:bCs/>
                <w:lang w:val="fr-FR"/>
              </w:rPr>
              <w:t xml:space="preserve"> à l’eau et à l’assainissement</w:t>
            </w:r>
            <w:r w:rsidR="00A8678A">
              <w:rPr>
                <w:bCs/>
                <w:lang w:val="fr-FR"/>
              </w:rPr>
              <w:t>.</w:t>
            </w:r>
            <w:r w:rsidR="00CC4D8B">
              <w:rPr>
                <w:bCs/>
                <w:lang w:val="fr-FR"/>
              </w:rPr>
              <w:t> </w:t>
            </w:r>
          </w:p>
        </w:tc>
      </w:tr>
    </w:tbl>
    <w:p w14:paraId="0DA174F4" w14:textId="16E43407" w:rsidR="003C45F6" w:rsidRDefault="003C45F6" w:rsidP="00ED0480">
      <w:r>
        <w:t>Date, lieu, signature</w:t>
      </w:r>
    </w:p>
    <w:p w14:paraId="4BACB866" w14:textId="3C2B0250" w:rsidR="003C45F6" w:rsidRDefault="003C45F6" w:rsidP="00ED0480"/>
    <w:p w14:paraId="5904880F" w14:textId="1DE48EDA" w:rsidR="003C45F6" w:rsidRDefault="003C45F6" w:rsidP="00ED0480"/>
    <w:p w14:paraId="64490E25" w14:textId="77777777" w:rsidR="003C45F6" w:rsidRPr="00C41751" w:rsidRDefault="003C45F6" w:rsidP="00ED0480"/>
    <w:sectPr w:rsidR="003C45F6" w:rsidRPr="00C41751">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AC86" w14:textId="77777777" w:rsidR="00367706" w:rsidRDefault="00367706" w:rsidP="00D77625">
      <w:pPr>
        <w:spacing w:after="0" w:line="240" w:lineRule="auto"/>
      </w:pPr>
      <w:r>
        <w:separator/>
      </w:r>
    </w:p>
  </w:endnote>
  <w:endnote w:type="continuationSeparator" w:id="0">
    <w:p w14:paraId="360001AD" w14:textId="77777777" w:rsidR="00367706" w:rsidRDefault="00367706" w:rsidP="00D77625">
      <w:pPr>
        <w:spacing w:after="0" w:line="240" w:lineRule="auto"/>
      </w:pPr>
      <w:r>
        <w:continuationSeparator/>
      </w:r>
    </w:p>
  </w:endnote>
  <w:endnote w:id="1">
    <w:p w14:paraId="61ED333D" w14:textId="7B92B2E3" w:rsidR="003C45F6" w:rsidRPr="00196EE3" w:rsidRDefault="003C45F6">
      <w:pPr>
        <w:pStyle w:val="Notedefin"/>
        <w:rPr>
          <w:sz w:val="18"/>
          <w:szCs w:val="18"/>
          <w:lang w:val="fr-CA"/>
        </w:rPr>
      </w:pPr>
      <w:r>
        <w:rPr>
          <w:rStyle w:val="Appeldenotedefin"/>
        </w:rPr>
        <w:endnoteRef/>
      </w:r>
      <w:r w:rsidRPr="003C45F6">
        <w:rPr>
          <w:lang w:val="fr-CA"/>
        </w:rPr>
        <w:t xml:space="preserve"> </w:t>
      </w:r>
      <w:r w:rsidRPr="00196EE3">
        <w:rPr>
          <w:sz w:val="18"/>
          <w:szCs w:val="18"/>
          <w:lang w:val="fr-CA"/>
        </w:rPr>
        <w:t xml:space="preserve">Ministère de l’Environnement et de la Lutte contre les changements climatiques. 2021. Le Saint-Laurent. </w:t>
      </w:r>
      <w:hyperlink r:id="rId1" w:history="1">
        <w:r w:rsidRPr="00196EE3">
          <w:rPr>
            <w:rStyle w:val="Lienhypertexte"/>
            <w:sz w:val="18"/>
            <w:szCs w:val="18"/>
            <w:lang w:val="fr-CA"/>
          </w:rPr>
          <w:t>https://www.environnement.gouv.qc.ca/eau/flrivlac/fleuve.htm</w:t>
        </w:r>
      </w:hyperlink>
    </w:p>
  </w:endnote>
  <w:endnote w:id="2">
    <w:p w14:paraId="2146D2AA" w14:textId="5426177B" w:rsidR="003C45F6" w:rsidRPr="00196EE3" w:rsidRDefault="003C45F6" w:rsidP="003C45F6">
      <w:pPr>
        <w:pStyle w:val="Notedefin"/>
        <w:rPr>
          <w:sz w:val="18"/>
          <w:szCs w:val="18"/>
          <w:lang w:val="fr-CA"/>
        </w:rPr>
      </w:pPr>
      <w:r w:rsidRPr="00196EE3">
        <w:rPr>
          <w:rStyle w:val="Appeldenotedefin"/>
          <w:sz w:val="18"/>
          <w:szCs w:val="18"/>
        </w:rPr>
        <w:endnoteRef/>
      </w:r>
      <w:r w:rsidRPr="00196EE3">
        <w:rPr>
          <w:sz w:val="18"/>
          <w:szCs w:val="18"/>
          <w:lang w:val="fr-CA"/>
        </w:rPr>
        <w:t xml:space="preserve"> Code civil du Québec, </w:t>
      </w:r>
      <w:r w:rsidRPr="00196EE3">
        <w:rPr>
          <w:sz w:val="18"/>
          <w:szCs w:val="18"/>
          <w:lang w:val="fr-FR"/>
        </w:rPr>
        <w:t xml:space="preserve">article 898.1; Voir aussi ce jugement récent de la cour supérieure du Québec (notre soulignement) : Walsh c. Dandurand, 2019 QCCS 1403 (CanLII), </w:t>
      </w:r>
      <w:hyperlink r:id="rId2" w:history="1">
        <w:r w:rsidRPr="00196EE3">
          <w:rPr>
            <w:rStyle w:val="Lienhypertexte"/>
            <w:sz w:val="18"/>
            <w:szCs w:val="18"/>
            <w:lang w:val="fr-FR"/>
          </w:rPr>
          <w:t>http://canlii.ca/t/hztk2</w:t>
        </w:r>
      </w:hyperlink>
      <w:r w:rsidRPr="00196EE3">
        <w:rPr>
          <w:sz w:val="18"/>
          <w:szCs w:val="18"/>
          <w:lang w:val="fr-FR"/>
        </w:rPr>
        <w:t xml:space="preserve"> :</w:t>
      </w:r>
    </w:p>
    <w:p w14:paraId="5198A524" w14:textId="350C8DCA" w:rsidR="003C45F6" w:rsidRPr="00196EE3" w:rsidRDefault="003C45F6">
      <w:pPr>
        <w:pStyle w:val="Notedefin"/>
        <w:rPr>
          <w:sz w:val="18"/>
          <w:szCs w:val="18"/>
          <w:lang w:val="fr-CA"/>
        </w:rPr>
      </w:pPr>
    </w:p>
  </w:endnote>
  <w:endnote w:id="3">
    <w:p w14:paraId="45B43124" w14:textId="44911D46" w:rsidR="003C45F6" w:rsidRPr="00196EE3" w:rsidRDefault="003C45F6">
      <w:pPr>
        <w:pStyle w:val="Notedefin"/>
        <w:rPr>
          <w:sz w:val="18"/>
          <w:szCs w:val="18"/>
          <w:lang w:val="fr-CA"/>
        </w:rPr>
      </w:pPr>
      <w:r w:rsidRPr="00196EE3">
        <w:rPr>
          <w:rStyle w:val="Appeldenotedefin"/>
          <w:sz w:val="18"/>
          <w:szCs w:val="18"/>
        </w:rPr>
        <w:endnoteRef/>
      </w:r>
      <w:r w:rsidRPr="00196EE3">
        <w:rPr>
          <w:sz w:val="18"/>
          <w:szCs w:val="18"/>
          <w:lang w:val="fr-CA"/>
        </w:rPr>
        <w:t xml:space="preserve"> </w:t>
      </w:r>
      <w:r w:rsidRPr="00196EE3">
        <w:rPr>
          <w:sz w:val="18"/>
          <w:szCs w:val="18"/>
          <w:lang w:val="fr-FR"/>
        </w:rPr>
        <w:t xml:space="preserve">Voir la Constitution de l’Équateur (2008), art. 10, 71, 72, 73 et 74 ; </w:t>
      </w:r>
      <w:r w:rsidRPr="00196EE3">
        <w:rPr>
          <w:i/>
          <w:sz w:val="18"/>
          <w:szCs w:val="18"/>
          <w:lang w:val="fr-FR"/>
        </w:rPr>
        <w:t>Loi-cadre (071) bolivienne sur les Droits de la Terre Mère</w:t>
      </w:r>
      <w:r w:rsidRPr="00196EE3">
        <w:rPr>
          <w:sz w:val="18"/>
          <w:szCs w:val="18"/>
          <w:lang w:val="fr-FR"/>
        </w:rPr>
        <w:t xml:space="preserve"> (2010) ; </w:t>
      </w:r>
      <w:r w:rsidRPr="00196EE3">
        <w:rPr>
          <w:i/>
          <w:sz w:val="18"/>
          <w:szCs w:val="18"/>
          <w:lang w:val="fr-FR"/>
        </w:rPr>
        <w:t>Loi-cadre (300) bolivienne de la Terre-mère et du développement pour bien vivre</w:t>
      </w:r>
      <w:r w:rsidRPr="00196EE3">
        <w:rPr>
          <w:sz w:val="18"/>
          <w:szCs w:val="18"/>
          <w:lang w:val="fr-FR"/>
        </w:rPr>
        <w:t xml:space="preserve"> (2012) ; </w:t>
      </w:r>
      <w:r w:rsidRPr="00196EE3">
        <w:rPr>
          <w:i/>
          <w:sz w:val="18"/>
          <w:szCs w:val="18"/>
          <w:lang w:val="fr-FR"/>
        </w:rPr>
        <w:t xml:space="preserve">Te Awa </w:t>
      </w:r>
      <w:proofErr w:type="spellStart"/>
      <w:r w:rsidRPr="00196EE3">
        <w:rPr>
          <w:i/>
          <w:sz w:val="18"/>
          <w:szCs w:val="18"/>
          <w:lang w:val="fr-FR"/>
        </w:rPr>
        <w:t>Tupua</w:t>
      </w:r>
      <w:proofErr w:type="spellEnd"/>
      <w:r w:rsidRPr="00196EE3">
        <w:rPr>
          <w:i/>
          <w:sz w:val="18"/>
          <w:szCs w:val="18"/>
          <w:lang w:val="fr-FR"/>
        </w:rPr>
        <w:t xml:space="preserve"> (</w:t>
      </w:r>
      <w:proofErr w:type="spellStart"/>
      <w:r w:rsidRPr="00196EE3">
        <w:rPr>
          <w:i/>
          <w:sz w:val="18"/>
          <w:szCs w:val="18"/>
          <w:lang w:val="fr-FR"/>
        </w:rPr>
        <w:t>Whanganui</w:t>
      </w:r>
      <w:proofErr w:type="spellEnd"/>
      <w:r w:rsidRPr="00196EE3">
        <w:rPr>
          <w:i/>
          <w:sz w:val="18"/>
          <w:szCs w:val="18"/>
          <w:lang w:val="fr-FR"/>
        </w:rPr>
        <w:t xml:space="preserve"> River Claims </w:t>
      </w:r>
      <w:proofErr w:type="spellStart"/>
      <w:r w:rsidRPr="00196EE3">
        <w:rPr>
          <w:i/>
          <w:sz w:val="18"/>
          <w:szCs w:val="18"/>
          <w:lang w:val="fr-FR"/>
        </w:rPr>
        <w:t>Settlement</w:t>
      </w:r>
      <w:proofErr w:type="spellEnd"/>
      <w:r w:rsidRPr="00196EE3">
        <w:rPr>
          <w:i/>
          <w:sz w:val="18"/>
          <w:szCs w:val="18"/>
          <w:lang w:val="fr-FR"/>
        </w:rPr>
        <w:t xml:space="preserve">) </w:t>
      </w:r>
      <w:proofErr w:type="spellStart"/>
      <w:r w:rsidRPr="00196EE3">
        <w:rPr>
          <w:i/>
          <w:sz w:val="18"/>
          <w:szCs w:val="18"/>
          <w:lang w:val="fr-FR"/>
        </w:rPr>
        <w:t>Act</w:t>
      </w:r>
      <w:proofErr w:type="spellEnd"/>
      <w:r w:rsidRPr="00196EE3">
        <w:rPr>
          <w:sz w:val="18"/>
          <w:szCs w:val="18"/>
          <w:lang w:val="fr-FR"/>
        </w:rPr>
        <w:t xml:space="preserve"> (2017), Nouvelle Zélande ; </w:t>
      </w:r>
      <w:r w:rsidRPr="00196EE3">
        <w:rPr>
          <w:i/>
          <w:sz w:val="18"/>
          <w:szCs w:val="18"/>
          <w:lang w:val="fr-FR"/>
        </w:rPr>
        <w:t xml:space="preserve">Yarra River Protection </w:t>
      </w:r>
      <w:proofErr w:type="spellStart"/>
      <w:r w:rsidRPr="00196EE3">
        <w:rPr>
          <w:i/>
          <w:sz w:val="18"/>
          <w:szCs w:val="18"/>
          <w:lang w:val="fr-FR"/>
        </w:rPr>
        <w:t>Act</w:t>
      </w:r>
      <w:proofErr w:type="spellEnd"/>
      <w:r w:rsidRPr="00196EE3">
        <w:rPr>
          <w:sz w:val="18"/>
          <w:szCs w:val="18"/>
          <w:lang w:val="fr-FR"/>
        </w:rPr>
        <w:t xml:space="preserve"> (2017), Victoria, Australie ; Constitution de la ville de Mexico, art. 18 (2018) ; Constitution de l’état de Colima, Mexique (2019) ; Ordonnance 2013-01 du Comté Mora, Nouveau-Mexique (2013) ; </w:t>
      </w:r>
      <w:proofErr w:type="spellStart"/>
      <w:r w:rsidRPr="00196EE3">
        <w:rPr>
          <w:i/>
          <w:sz w:val="18"/>
          <w:szCs w:val="18"/>
          <w:lang w:val="fr-FR"/>
        </w:rPr>
        <w:t>Ordinance</w:t>
      </w:r>
      <w:proofErr w:type="spellEnd"/>
      <w:r w:rsidRPr="00196EE3">
        <w:rPr>
          <w:i/>
          <w:sz w:val="18"/>
          <w:szCs w:val="18"/>
          <w:lang w:val="fr-FR"/>
        </w:rPr>
        <w:t xml:space="preserve"> of the City Council of the City of Santa Monica </w:t>
      </w:r>
      <w:proofErr w:type="spellStart"/>
      <w:r w:rsidRPr="00196EE3">
        <w:rPr>
          <w:i/>
          <w:sz w:val="18"/>
          <w:szCs w:val="18"/>
          <w:lang w:val="fr-FR"/>
        </w:rPr>
        <w:t>Establishing</w:t>
      </w:r>
      <w:proofErr w:type="spellEnd"/>
      <w:r w:rsidRPr="00196EE3">
        <w:rPr>
          <w:i/>
          <w:sz w:val="18"/>
          <w:szCs w:val="18"/>
          <w:lang w:val="fr-FR"/>
        </w:rPr>
        <w:t xml:space="preserve"> </w:t>
      </w:r>
      <w:proofErr w:type="spellStart"/>
      <w:r w:rsidRPr="00196EE3">
        <w:rPr>
          <w:i/>
          <w:sz w:val="18"/>
          <w:szCs w:val="18"/>
          <w:lang w:val="fr-FR"/>
        </w:rPr>
        <w:t>Sustainability</w:t>
      </w:r>
      <w:proofErr w:type="spellEnd"/>
      <w:r w:rsidRPr="00196EE3">
        <w:rPr>
          <w:i/>
          <w:sz w:val="18"/>
          <w:szCs w:val="18"/>
          <w:lang w:val="fr-FR"/>
        </w:rPr>
        <w:t xml:space="preserve"> </w:t>
      </w:r>
      <w:proofErr w:type="spellStart"/>
      <w:r w:rsidRPr="00196EE3">
        <w:rPr>
          <w:i/>
          <w:sz w:val="18"/>
          <w:szCs w:val="18"/>
          <w:lang w:val="fr-FR"/>
        </w:rPr>
        <w:t>Rights</w:t>
      </w:r>
      <w:proofErr w:type="spellEnd"/>
      <w:r w:rsidRPr="00196EE3">
        <w:rPr>
          <w:sz w:val="18"/>
          <w:szCs w:val="18"/>
          <w:lang w:val="fr-FR"/>
        </w:rPr>
        <w:t xml:space="preserve">, Santa Monica, Californie (2013) ; Résolution 006-2018, </w:t>
      </w:r>
      <w:proofErr w:type="spellStart"/>
      <w:r w:rsidRPr="00196EE3">
        <w:rPr>
          <w:sz w:val="18"/>
          <w:szCs w:val="18"/>
          <w:lang w:val="fr-FR"/>
        </w:rPr>
        <w:t>Crestone</w:t>
      </w:r>
      <w:proofErr w:type="spellEnd"/>
      <w:r w:rsidRPr="00196EE3">
        <w:rPr>
          <w:sz w:val="18"/>
          <w:szCs w:val="18"/>
          <w:lang w:val="fr-FR"/>
        </w:rPr>
        <w:t xml:space="preserve">, Colorado (2018) ; </w:t>
      </w:r>
      <w:r w:rsidRPr="00196EE3">
        <w:rPr>
          <w:i/>
          <w:sz w:val="18"/>
          <w:szCs w:val="18"/>
          <w:lang w:val="fr-FR"/>
        </w:rPr>
        <w:t>Résolution 397-14 sur les droits des baleines et dauphins</w:t>
      </w:r>
      <w:r w:rsidRPr="00196EE3">
        <w:rPr>
          <w:sz w:val="18"/>
          <w:szCs w:val="18"/>
          <w:lang w:val="fr-FR"/>
        </w:rPr>
        <w:t xml:space="preserve">, San Francisco, Californie (2014) ; République de l’Ouganda, </w:t>
      </w:r>
      <w:r w:rsidRPr="00196EE3">
        <w:rPr>
          <w:i/>
          <w:sz w:val="18"/>
          <w:szCs w:val="18"/>
          <w:lang w:val="fr-FR"/>
        </w:rPr>
        <w:t xml:space="preserve">National </w:t>
      </w:r>
      <w:proofErr w:type="spellStart"/>
      <w:r w:rsidRPr="00196EE3">
        <w:rPr>
          <w:i/>
          <w:sz w:val="18"/>
          <w:szCs w:val="18"/>
          <w:lang w:val="fr-FR"/>
        </w:rPr>
        <w:t>Environment</w:t>
      </w:r>
      <w:proofErr w:type="spellEnd"/>
      <w:r w:rsidRPr="00196EE3">
        <w:rPr>
          <w:i/>
          <w:sz w:val="18"/>
          <w:szCs w:val="18"/>
          <w:lang w:val="fr-FR"/>
        </w:rPr>
        <w:t xml:space="preserve"> </w:t>
      </w:r>
      <w:proofErr w:type="spellStart"/>
      <w:r w:rsidRPr="00196EE3">
        <w:rPr>
          <w:i/>
          <w:sz w:val="18"/>
          <w:szCs w:val="18"/>
          <w:lang w:val="fr-FR"/>
        </w:rPr>
        <w:t>Act</w:t>
      </w:r>
      <w:proofErr w:type="spellEnd"/>
      <w:r w:rsidRPr="00196EE3">
        <w:rPr>
          <w:i/>
          <w:sz w:val="18"/>
          <w:szCs w:val="18"/>
          <w:lang w:val="fr-FR"/>
        </w:rPr>
        <w:t>, 2019</w:t>
      </w:r>
      <w:r w:rsidRPr="00196EE3">
        <w:rPr>
          <w:sz w:val="18"/>
          <w:szCs w:val="18"/>
          <w:lang w:val="fr-FR"/>
        </w:rPr>
        <w:t>, art. 4.</w:t>
      </w:r>
      <w:r w:rsidR="00A857C8">
        <w:rPr>
          <w:sz w:val="18"/>
          <w:szCs w:val="18"/>
          <w:lang w:val="fr-FR"/>
        </w:rPr>
        <w:t xml:space="preserve">, Loi 19/2022 reconnaissant la personnalité juridique de </w:t>
      </w:r>
      <w:r w:rsidR="00A857C8" w:rsidRPr="00A857C8">
        <w:rPr>
          <w:i/>
          <w:iCs/>
          <w:sz w:val="18"/>
          <w:szCs w:val="18"/>
          <w:lang w:val="fr-FR"/>
        </w:rPr>
        <w:t xml:space="preserve">El Mar </w:t>
      </w:r>
      <w:proofErr w:type="spellStart"/>
      <w:r w:rsidR="00A857C8" w:rsidRPr="00A857C8">
        <w:rPr>
          <w:i/>
          <w:iCs/>
          <w:sz w:val="18"/>
          <w:szCs w:val="18"/>
          <w:lang w:val="fr-FR"/>
        </w:rPr>
        <w:t>Menor</w:t>
      </w:r>
      <w:proofErr w:type="spellEnd"/>
      <w:r w:rsidR="00A857C8">
        <w:rPr>
          <w:sz w:val="18"/>
          <w:szCs w:val="18"/>
          <w:lang w:val="fr-FR"/>
        </w:rPr>
        <w:t xml:space="preserve"> (Espagne).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63EF" w14:textId="77777777" w:rsidR="00367706" w:rsidRDefault="00367706" w:rsidP="00D77625">
      <w:pPr>
        <w:spacing w:after="0" w:line="240" w:lineRule="auto"/>
      </w:pPr>
      <w:r>
        <w:separator/>
      </w:r>
    </w:p>
  </w:footnote>
  <w:footnote w:type="continuationSeparator" w:id="0">
    <w:p w14:paraId="7F1641E4" w14:textId="77777777" w:rsidR="00367706" w:rsidRDefault="00367706" w:rsidP="00D7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FFA" w14:textId="3CEBA0D0" w:rsidR="000455E1" w:rsidRDefault="000455E1">
    <w:pPr>
      <w:pStyle w:val="En-tte"/>
    </w:pPr>
    <w:r>
      <w:rPr>
        <w:noProof/>
        <w:lang w:val="fr-FR" w:eastAsia="fr-FR"/>
      </w:rPr>
      <w:drawing>
        <wp:anchor distT="0" distB="0" distL="114300" distR="114300" simplePos="0" relativeHeight="251659264" behindDoc="0" locked="0" layoutInCell="1" allowOverlap="1" wp14:anchorId="1C4C4D13" wp14:editId="368515E4">
          <wp:simplePos x="0" y="0"/>
          <wp:positionH relativeFrom="margin">
            <wp:align>right</wp:align>
          </wp:positionH>
          <wp:positionV relativeFrom="paragraph">
            <wp:posOffset>-231321</wp:posOffset>
          </wp:positionV>
          <wp:extent cx="1366949" cy="687251"/>
          <wp:effectExtent l="0" t="0" r="5080" b="0"/>
          <wp:wrapSquare wrapText="bothSides"/>
          <wp:docPr id="1" name="Image 1" descr="OIDN/Logo/80688620_486753538642639_28770548776897085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DN/Logo/80688620_486753538642639_2877054877689708544_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31" t="31920" r="16475" b="34297"/>
                  <a:stretch/>
                </pic:blipFill>
                <pic:spPr bwMode="auto">
                  <a:xfrm>
                    <a:off x="0" y="0"/>
                    <a:ext cx="1366949" cy="6872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4FEBA" w14:textId="77777777" w:rsidR="000455E1" w:rsidRDefault="000455E1">
    <w:pPr>
      <w:pStyle w:val="En-tte"/>
    </w:pPr>
  </w:p>
  <w:p w14:paraId="4BE7995B" w14:textId="61C425D1" w:rsidR="00D77625" w:rsidRDefault="000455E1">
    <w:pPr>
      <w:pStyle w:val="En-tte"/>
    </w:pPr>
    <w:r>
      <w:t>Résolution n°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1356"/>
    <w:multiLevelType w:val="hybridMultilevel"/>
    <w:tmpl w:val="04349E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6343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0"/>
    <w:rsid w:val="00020D1C"/>
    <w:rsid w:val="00023F98"/>
    <w:rsid w:val="00040C53"/>
    <w:rsid w:val="000455E1"/>
    <w:rsid w:val="0005329B"/>
    <w:rsid w:val="00065CEF"/>
    <w:rsid w:val="00084D23"/>
    <w:rsid w:val="000B16C1"/>
    <w:rsid w:val="000B42FB"/>
    <w:rsid w:val="000B76E4"/>
    <w:rsid w:val="000C47E9"/>
    <w:rsid w:val="000E00EF"/>
    <w:rsid w:val="000F74AA"/>
    <w:rsid w:val="00121A8E"/>
    <w:rsid w:val="00122006"/>
    <w:rsid w:val="001653AD"/>
    <w:rsid w:val="0018403D"/>
    <w:rsid w:val="001843D8"/>
    <w:rsid w:val="00196EE3"/>
    <w:rsid w:val="001B25C7"/>
    <w:rsid w:val="001C7FCC"/>
    <w:rsid w:val="00204557"/>
    <w:rsid w:val="002101F2"/>
    <w:rsid w:val="002159A2"/>
    <w:rsid w:val="0024049A"/>
    <w:rsid w:val="00250B6B"/>
    <w:rsid w:val="0025307E"/>
    <w:rsid w:val="00272C5A"/>
    <w:rsid w:val="00277266"/>
    <w:rsid w:val="00284600"/>
    <w:rsid w:val="002848DF"/>
    <w:rsid w:val="002906D2"/>
    <w:rsid w:val="002C0D94"/>
    <w:rsid w:val="002C2BC1"/>
    <w:rsid w:val="002C68D4"/>
    <w:rsid w:val="002E0550"/>
    <w:rsid w:val="002E0C1A"/>
    <w:rsid w:val="002F23C0"/>
    <w:rsid w:val="0030751F"/>
    <w:rsid w:val="003134E9"/>
    <w:rsid w:val="00331F40"/>
    <w:rsid w:val="00344414"/>
    <w:rsid w:val="00360BA9"/>
    <w:rsid w:val="00367706"/>
    <w:rsid w:val="003742C9"/>
    <w:rsid w:val="00386F93"/>
    <w:rsid w:val="003C01D0"/>
    <w:rsid w:val="003C45F6"/>
    <w:rsid w:val="003C58F0"/>
    <w:rsid w:val="003D2416"/>
    <w:rsid w:val="003D6CA6"/>
    <w:rsid w:val="003E60FF"/>
    <w:rsid w:val="00412BF2"/>
    <w:rsid w:val="00431441"/>
    <w:rsid w:val="0045060A"/>
    <w:rsid w:val="00456CE6"/>
    <w:rsid w:val="00465AA5"/>
    <w:rsid w:val="00482700"/>
    <w:rsid w:val="004C26D5"/>
    <w:rsid w:val="00505A83"/>
    <w:rsid w:val="005225C6"/>
    <w:rsid w:val="005563A2"/>
    <w:rsid w:val="005822A1"/>
    <w:rsid w:val="0058343B"/>
    <w:rsid w:val="0058599E"/>
    <w:rsid w:val="005D459E"/>
    <w:rsid w:val="005E5A1E"/>
    <w:rsid w:val="005F4F66"/>
    <w:rsid w:val="006149A6"/>
    <w:rsid w:val="006249CF"/>
    <w:rsid w:val="0063127B"/>
    <w:rsid w:val="00670C34"/>
    <w:rsid w:val="00674934"/>
    <w:rsid w:val="0068091D"/>
    <w:rsid w:val="006C4F39"/>
    <w:rsid w:val="00711437"/>
    <w:rsid w:val="007318EC"/>
    <w:rsid w:val="00736971"/>
    <w:rsid w:val="0075341D"/>
    <w:rsid w:val="00772673"/>
    <w:rsid w:val="007A3419"/>
    <w:rsid w:val="007C7C1E"/>
    <w:rsid w:val="007E7740"/>
    <w:rsid w:val="007F13EA"/>
    <w:rsid w:val="00813844"/>
    <w:rsid w:val="00845254"/>
    <w:rsid w:val="00853F47"/>
    <w:rsid w:val="008578C0"/>
    <w:rsid w:val="0087775C"/>
    <w:rsid w:val="008A2D03"/>
    <w:rsid w:val="008C119B"/>
    <w:rsid w:val="00934E86"/>
    <w:rsid w:val="009464D5"/>
    <w:rsid w:val="00955DF3"/>
    <w:rsid w:val="00961425"/>
    <w:rsid w:val="00963DF3"/>
    <w:rsid w:val="00980D04"/>
    <w:rsid w:val="00994403"/>
    <w:rsid w:val="009B5E8E"/>
    <w:rsid w:val="009D0CA0"/>
    <w:rsid w:val="009E0622"/>
    <w:rsid w:val="009F5701"/>
    <w:rsid w:val="00A3485B"/>
    <w:rsid w:val="00A3568C"/>
    <w:rsid w:val="00A4084B"/>
    <w:rsid w:val="00A44CFB"/>
    <w:rsid w:val="00A579B7"/>
    <w:rsid w:val="00A840FC"/>
    <w:rsid w:val="00A857C8"/>
    <w:rsid w:val="00A8678A"/>
    <w:rsid w:val="00A97A01"/>
    <w:rsid w:val="00AC559A"/>
    <w:rsid w:val="00AD0943"/>
    <w:rsid w:val="00B11D25"/>
    <w:rsid w:val="00BC510C"/>
    <w:rsid w:val="00BF1681"/>
    <w:rsid w:val="00C01592"/>
    <w:rsid w:val="00C41751"/>
    <w:rsid w:val="00C90EE4"/>
    <w:rsid w:val="00C91128"/>
    <w:rsid w:val="00CC4D8B"/>
    <w:rsid w:val="00CC6D26"/>
    <w:rsid w:val="00CF05B3"/>
    <w:rsid w:val="00CF4CA8"/>
    <w:rsid w:val="00D127DD"/>
    <w:rsid w:val="00D16415"/>
    <w:rsid w:val="00D35B9D"/>
    <w:rsid w:val="00D77625"/>
    <w:rsid w:val="00D914AD"/>
    <w:rsid w:val="00D93058"/>
    <w:rsid w:val="00D9447C"/>
    <w:rsid w:val="00DC47D8"/>
    <w:rsid w:val="00DE7EEE"/>
    <w:rsid w:val="00DF4C70"/>
    <w:rsid w:val="00E00C52"/>
    <w:rsid w:val="00E22EDD"/>
    <w:rsid w:val="00E26430"/>
    <w:rsid w:val="00E314E5"/>
    <w:rsid w:val="00E46BAF"/>
    <w:rsid w:val="00E50511"/>
    <w:rsid w:val="00E518D2"/>
    <w:rsid w:val="00E52B58"/>
    <w:rsid w:val="00E6280F"/>
    <w:rsid w:val="00E83098"/>
    <w:rsid w:val="00E9054C"/>
    <w:rsid w:val="00EC36B3"/>
    <w:rsid w:val="00ED0480"/>
    <w:rsid w:val="00EE797C"/>
    <w:rsid w:val="00EF6F4E"/>
    <w:rsid w:val="00F37920"/>
    <w:rsid w:val="00F577EE"/>
    <w:rsid w:val="00F80C62"/>
    <w:rsid w:val="00FC53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5A5A"/>
  <w15:chartTrackingRefBased/>
  <w15:docId w15:val="{70480685-288D-4341-BFDF-EAEF673A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7625"/>
    <w:pPr>
      <w:tabs>
        <w:tab w:val="center" w:pos="4703"/>
        <w:tab w:val="right" w:pos="9406"/>
      </w:tabs>
      <w:spacing w:after="0" w:line="240" w:lineRule="auto"/>
    </w:pPr>
  </w:style>
  <w:style w:type="character" w:customStyle="1" w:styleId="En-tteCar">
    <w:name w:val="En-tête Car"/>
    <w:basedOn w:val="Policepardfaut"/>
    <w:link w:val="En-tte"/>
    <w:uiPriority w:val="99"/>
    <w:rsid w:val="00D77625"/>
  </w:style>
  <w:style w:type="paragraph" w:styleId="Pieddepage">
    <w:name w:val="footer"/>
    <w:basedOn w:val="Normal"/>
    <w:link w:val="PieddepageCar"/>
    <w:uiPriority w:val="99"/>
    <w:unhideWhenUsed/>
    <w:rsid w:val="00D7762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7625"/>
  </w:style>
  <w:style w:type="table" w:styleId="Grilledutableau">
    <w:name w:val="Table Grid"/>
    <w:basedOn w:val="TableauNormal"/>
    <w:uiPriority w:val="39"/>
    <w:rsid w:val="005F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78C0"/>
    <w:pPr>
      <w:ind w:left="720"/>
      <w:contextualSpacing/>
    </w:pPr>
  </w:style>
  <w:style w:type="character" w:styleId="Lienhypertexte">
    <w:name w:val="Hyperlink"/>
    <w:basedOn w:val="Policepardfaut"/>
    <w:uiPriority w:val="99"/>
    <w:unhideWhenUsed/>
    <w:rsid w:val="00121A8E"/>
    <w:rPr>
      <w:color w:val="0563C1" w:themeColor="hyperlink"/>
      <w:u w:val="single"/>
    </w:rPr>
  </w:style>
  <w:style w:type="paragraph" w:styleId="Notedefin">
    <w:name w:val="endnote text"/>
    <w:basedOn w:val="Normal"/>
    <w:link w:val="NotedefinCar"/>
    <w:uiPriority w:val="99"/>
    <w:unhideWhenUsed/>
    <w:rsid w:val="00121A8E"/>
    <w:pPr>
      <w:spacing w:after="0" w:line="240" w:lineRule="auto"/>
    </w:pPr>
    <w:rPr>
      <w:rFonts w:ascii="Times New Roman" w:eastAsia="Times New Roman" w:hAnsi="Times New Roman" w:cs="Times New Roman"/>
      <w:sz w:val="20"/>
      <w:szCs w:val="20"/>
      <w:lang w:val="en-CA"/>
    </w:rPr>
  </w:style>
  <w:style w:type="character" w:customStyle="1" w:styleId="NotedefinCar">
    <w:name w:val="Note de fin Car"/>
    <w:basedOn w:val="Policepardfaut"/>
    <w:link w:val="Notedefin"/>
    <w:uiPriority w:val="99"/>
    <w:rsid w:val="00121A8E"/>
    <w:rPr>
      <w:rFonts w:ascii="Times New Roman" w:eastAsia="Times New Roman" w:hAnsi="Times New Roman" w:cs="Times New Roman"/>
      <w:sz w:val="20"/>
      <w:szCs w:val="20"/>
      <w:lang w:val="en-CA"/>
    </w:rPr>
  </w:style>
  <w:style w:type="character" w:styleId="Appeldenotedefin">
    <w:name w:val="endnote reference"/>
    <w:basedOn w:val="Policepardfaut"/>
    <w:uiPriority w:val="99"/>
    <w:semiHidden/>
    <w:unhideWhenUsed/>
    <w:rsid w:val="00121A8E"/>
    <w:rPr>
      <w:vertAlign w:val="superscript"/>
    </w:rPr>
  </w:style>
  <w:style w:type="paragraph" w:styleId="Notedebasdepage">
    <w:name w:val="footnote text"/>
    <w:basedOn w:val="Normal"/>
    <w:link w:val="NotedebasdepageCar"/>
    <w:uiPriority w:val="99"/>
    <w:semiHidden/>
    <w:unhideWhenUsed/>
    <w:rsid w:val="00121A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1A8E"/>
    <w:rPr>
      <w:sz w:val="20"/>
      <w:szCs w:val="20"/>
    </w:rPr>
  </w:style>
  <w:style w:type="character" w:styleId="Appelnotedebasdep">
    <w:name w:val="footnote reference"/>
    <w:basedOn w:val="Policepardfaut"/>
    <w:uiPriority w:val="99"/>
    <w:semiHidden/>
    <w:unhideWhenUsed/>
    <w:rsid w:val="00121A8E"/>
    <w:rPr>
      <w:vertAlign w:val="superscript"/>
    </w:rPr>
  </w:style>
  <w:style w:type="character" w:styleId="Marquedecommentaire">
    <w:name w:val="annotation reference"/>
    <w:basedOn w:val="Policepardfaut"/>
    <w:uiPriority w:val="99"/>
    <w:semiHidden/>
    <w:unhideWhenUsed/>
    <w:rsid w:val="006249CF"/>
    <w:rPr>
      <w:sz w:val="16"/>
      <w:szCs w:val="16"/>
    </w:rPr>
  </w:style>
  <w:style w:type="paragraph" w:styleId="Commentaire">
    <w:name w:val="annotation text"/>
    <w:basedOn w:val="Normal"/>
    <w:link w:val="CommentaireCar"/>
    <w:uiPriority w:val="99"/>
    <w:semiHidden/>
    <w:unhideWhenUsed/>
    <w:rsid w:val="006249CF"/>
    <w:pPr>
      <w:spacing w:line="240" w:lineRule="auto"/>
    </w:pPr>
    <w:rPr>
      <w:sz w:val="20"/>
      <w:szCs w:val="20"/>
    </w:rPr>
  </w:style>
  <w:style w:type="character" w:customStyle="1" w:styleId="CommentaireCar">
    <w:name w:val="Commentaire Car"/>
    <w:basedOn w:val="Policepardfaut"/>
    <w:link w:val="Commentaire"/>
    <w:uiPriority w:val="99"/>
    <w:semiHidden/>
    <w:rsid w:val="006249CF"/>
    <w:rPr>
      <w:sz w:val="20"/>
      <w:szCs w:val="20"/>
    </w:rPr>
  </w:style>
  <w:style w:type="paragraph" w:styleId="Objetducommentaire">
    <w:name w:val="annotation subject"/>
    <w:basedOn w:val="Commentaire"/>
    <w:next w:val="Commentaire"/>
    <w:link w:val="ObjetducommentaireCar"/>
    <w:uiPriority w:val="99"/>
    <w:semiHidden/>
    <w:unhideWhenUsed/>
    <w:rsid w:val="006249CF"/>
    <w:rPr>
      <w:b/>
      <w:bCs/>
    </w:rPr>
  </w:style>
  <w:style w:type="character" w:customStyle="1" w:styleId="ObjetducommentaireCar">
    <w:name w:val="Objet du commentaire Car"/>
    <w:basedOn w:val="CommentaireCar"/>
    <w:link w:val="Objetducommentaire"/>
    <w:uiPriority w:val="99"/>
    <w:semiHidden/>
    <w:rsid w:val="006249CF"/>
    <w:rPr>
      <w:b/>
      <w:bCs/>
      <w:sz w:val="20"/>
      <w:szCs w:val="20"/>
    </w:rPr>
  </w:style>
  <w:style w:type="character" w:styleId="Mentionnonrsolue">
    <w:name w:val="Unresolved Mention"/>
    <w:basedOn w:val="Policepardfaut"/>
    <w:uiPriority w:val="99"/>
    <w:semiHidden/>
    <w:unhideWhenUsed/>
    <w:rsid w:val="0025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canlii.ca/t/hztk2" TargetMode="External"/><Relationship Id="rId1" Type="http://schemas.openxmlformats.org/officeDocument/2006/relationships/hyperlink" Target="https://www.environnement.gouv.qc.ca/eau/flrivlac/fleuv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C9E2815-60A9-4CDB-A93C-6FACD00F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3874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Cloutier</dc:creator>
  <cp:keywords/>
  <dc:description/>
  <cp:lastModifiedBy>Yenny Vega</cp:lastModifiedBy>
  <cp:revision>2</cp:revision>
  <dcterms:created xsi:type="dcterms:W3CDTF">2022-12-01T16:12:00Z</dcterms:created>
  <dcterms:modified xsi:type="dcterms:W3CDTF">2022-12-01T16:12:00Z</dcterms:modified>
</cp:coreProperties>
</file>